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BD4E8" w14:textId="7A125A9F" w:rsidR="00E55598" w:rsidRPr="00DB32AC" w:rsidRDefault="00DB32AC" w:rsidP="00DB32AC">
      <w:pPr>
        <w:pStyle w:val="BodyText"/>
        <w:ind w:left="90"/>
        <w:rPr>
          <w:rFonts w:ascii="Times New Roman"/>
          <w:sz w:val="28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58240" behindDoc="1" locked="0" layoutInCell="1" allowOverlap="1" wp14:anchorId="36C0D275" wp14:editId="2BC739D8">
            <wp:simplePos x="0" y="0"/>
            <wp:positionH relativeFrom="margin">
              <wp:posOffset>6152515</wp:posOffset>
            </wp:positionH>
            <wp:positionV relativeFrom="paragraph">
              <wp:posOffset>-477682</wp:posOffset>
            </wp:positionV>
            <wp:extent cx="2265635" cy="712381"/>
            <wp:effectExtent l="0" t="0" r="1905" b="0"/>
            <wp:wrapNone/>
            <wp:docPr id="15" name="Picture 15" title="PA Adult Ed Resour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rint_resources_log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35" cy="712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z w:val="20"/>
        </w:rPr>
        <w:br/>
      </w:r>
      <w:r w:rsidRPr="00DB32AC">
        <w:rPr>
          <w:rFonts w:ascii="Open Sans Extrabold" w:hAnsi="Open Sans Extrabold" w:cs="Open Sans Extrabold"/>
          <w:color w:val="004E89"/>
          <w:sz w:val="28"/>
        </w:rPr>
        <w:t>Career Pathway Student Report (CPSR) Summary Companion</w:t>
      </w:r>
    </w:p>
    <w:p w14:paraId="1D03B382" w14:textId="769CE717" w:rsidR="00E55598" w:rsidRPr="00A614BD" w:rsidRDefault="00AF058B" w:rsidP="00A74DCC">
      <w:pPr>
        <w:spacing w:after="240" w:line="256" w:lineRule="auto"/>
        <w:ind w:left="90" w:right="1378"/>
        <w:rPr>
          <w:rFonts w:ascii="Open Sans" w:hAnsi="Open Sans" w:cs="Open Sans"/>
          <w:i/>
          <w:color w:val="004E89"/>
        </w:rPr>
      </w:pPr>
      <w:r w:rsidRPr="00A614BD">
        <w:rPr>
          <w:rFonts w:ascii="Open Sans" w:hAnsi="Open Sans" w:cs="Open Sans"/>
          <w:i/>
          <w:color w:val="004E89"/>
        </w:rPr>
        <w:t xml:space="preserve">These questions can help your program brainstorm ways to use data for program improvement, </w:t>
      </w:r>
      <w:r w:rsidR="00C979B3" w:rsidRPr="00A614BD">
        <w:rPr>
          <w:rFonts w:ascii="Open Sans" w:hAnsi="Open Sans" w:cs="Open Sans"/>
          <w:i/>
          <w:color w:val="004E89"/>
        </w:rPr>
        <w:t xml:space="preserve">to </w:t>
      </w:r>
      <w:r w:rsidR="00605E24" w:rsidRPr="00A614BD">
        <w:rPr>
          <w:rFonts w:ascii="Open Sans" w:hAnsi="Open Sans" w:cs="Open Sans"/>
          <w:i/>
          <w:color w:val="004E89"/>
        </w:rPr>
        <w:t>align to</w:t>
      </w:r>
      <w:r w:rsidR="00DB32AC" w:rsidRPr="00A614BD">
        <w:rPr>
          <w:rFonts w:ascii="Open Sans" w:hAnsi="Open Sans" w:cs="Open Sans"/>
          <w:i/>
          <w:color w:val="004E89"/>
        </w:rPr>
        <w:t xml:space="preserve"> </w:t>
      </w:r>
      <w:r w:rsidRPr="00A614BD">
        <w:rPr>
          <w:rFonts w:ascii="Open Sans" w:hAnsi="Open Sans" w:cs="Open Sans"/>
          <w:i/>
          <w:color w:val="004E89"/>
        </w:rPr>
        <w:t xml:space="preserve">your </w:t>
      </w:r>
      <w:r w:rsidR="00605E24" w:rsidRPr="00A614BD">
        <w:rPr>
          <w:rFonts w:ascii="Open Sans" w:hAnsi="Open Sans" w:cs="Open Sans"/>
          <w:i/>
          <w:color w:val="004E89"/>
        </w:rPr>
        <w:t>Local Workforce Development Area Plan</w:t>
      </w:r>
      <w:r w:rsidRPr="00A614BD">
        <w:rPr>
          <w:rFonts w:ascii="Open Sans" w:hAnsi="Open Sans" w:cs="Open Sans"/>
          <w:i/>
          <w:color w:val="004E89"/>
        </w:rPr>
        <w:t xml:space="preserve">, and </w:t>
      </w:r>
      <w:r w:rsidR="00C979B3" w:rsidRPr="00A614BD">
        <w:rPr>
          <w:rFonts w:ascii="Open Sans" w:hAnsi="Open Sans" w:cs="Open Sans"/>
          <w:i/>
          <w:color w:val="004E89"/>
        </w:rPr>
        <w:t xml:space="preserve">to </w:t>
      </w:r>
      <w:r w:rsidRPr="00A614BD">
        <w:rPr>
          <w:rFonts w:ascii="Open Sans" w:hAnsi="Open Sans" w:cs="Open Sans"/>
          <w:i/>
          <w:color w:val="004E89"/>
        </w:rPr>
        <w:t xml:space="preserve">improve learners’ </w:t>
      </w:r>
      <w:r w:rsidR="00DB32AC" w:rsidRPr="00A614BD">
        <w:rPr>
          <w:rFonts w:ascii="Open Sans" w:hAnsi="Open Sans" w:cs="Open Sans"/>
          <w:i/>
          <w:color w:val="004E89"/>
        </w:rPr>
        <w:t>transitions to self-sustaining</w:t>
      </w:r>
      <w:r w:rsidRPr="00A614BD">
        <w:rPr>
          <w:rFonts w:ascii="Open Sans" w:hAnsi="Open Sans" w:cs="Open Sans"/>
          <w:i/>
          <w:color w:val="004E89"/>
        </w:rPr>
        <w:t xml:space="preserve"> careers.</w:t>
      </w:r>
    </w:p>
    <w:p w14:paraId="4B1EBC01" w14:textId="457F8DF0" w:rsidR="005B7C08" w:rsidRDefault="007E1891">
      <w:pPr>
        <w:spacing w:line="256" w:lineRule="auto"/>
        <w:ind w:left="2490" w:right="1378" w:hanging="195"/>
        <w:rPr>
          <w:i/>
          <w:color w:val="818181"/>
          <w:sz w:val="20"/>
        </w:rPr>
      </w:pPr>
      <w:r w:rsidRPr="00DB32AC">
        <w:rPr>
          <w:noProof/>
          <w:color w:val="1F497D" w:themeColor="text2"/>
          <w:lang w:bidi="ar-SA"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323A0426" wp14:editId="3A335C23">
                <wp:simplePos x="0" y="0"/>
                <wp:positionH relativeFrom="margin">
                  <wp:posOffset>-20271</wp:posOffset>
                </wp:positionH>
                <wp:positionV relativeFrom="paragraph">
                  <wp:posOffset>8108</wp:posOffset>
                </wp:positionV>
                <wp:extent cx="8553072" cy="295910"/>
                <wp:effectExtent l="0" t="0" r="635" b="8890"/>
                <wp:wrapNone/>
                <wp:docPr id="2" name="Group 2" title="Acuire, Analyze, and Adju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53072" cy="295910"/>
                          <a:chOff x="3096" y="770"/>
                          <a:chExt cx="32667" cy="535"/>
                        </a:xfrm>
                      </wpg:grpSpPr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19150" y="770"/>
                            <a:ext cx="16613" cy="534"/>
                          </a:xfrm>
                          <a:custGeom>
                            <a:avLst/>
                            <a:gdLst>
                              <a:gd name="T0" fmla="+- 0 14087 7620"/>
                              <a:gd name="T1" fmla="*/ T0 w 6720"/>
                              <a:gd name="T2" fmla="+- 0 590 590"/>
                              <a:gd name="T3" fmla="*/ 590 h 506"/>
                              <a:gd name="T4" fmla="+- 0 7620 7620"/>
                              <a:gd name="T5" fmla="*/ T4 w 6720"/>
                              <a:gd name="T6" fmla="+- 0 590 590"/>
                              <a:gd name="T7" fmla="*/ 590 h 506"/>
                              <a:gd name="T8" fmla="+- 0 7620 7620"/>
                              <a:gd name="T9" fmla="*/ T8 w 6720"/>
                              <a:gd name="T10" fmla="+- 0 1096 590"/>
                              <a:gd name="T11" fmla="*/ 1096 h 506"/>
                              <a:gd name="T12" fmla="+- 0 14087 7620"/>
                              <a:gd name="T13" fmla="*/ T12 w 6720"/>
                              <a:gd name="T14" fmla="+- 0 1096 590"/>
                              <a:gd name="T15" fmla="*/ 1096 h 506"/>
                              <a:gd name="T16" fmla="+- 0 14340 7620"/>
                              <a:gd name="T17" fmla="*/ T16 w 6720"/>
                              <a:gd name="T18" fmla="+- 0 843 590"/>
                              <a:gd name="T19" fmla="*/ 843 h 506"/>
                              <a:gd name="T20" fmla="+- 0 14087 7620"/>
                              <a:gd name="T21" fmla="*/ T20 w 6720"/>
                              <a:gd name="T22" fmla="+- 0 590 590"/>
                              <a:gd name="T23" fmla="*/ 590 h 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720" h="506">
                                <a:moveTo>
                                  <a:pt x="6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6"/>
                                </a:lnTo>
                                <a:lnTo>
                                  <a:pt x="6467" y="506"/>
                                </a:lnTo>
                                <a:lnTo>
                                  <a:pt x="6720" y="253"/>
                                </a:lnTo>
                                <a:lnTo>
                                  <a:pt x="6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E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B2D05" w14:textId="402CB1C2" w:rsidR="007E1891" w:rsidRPr="007E1891" w:rsidRDefault="007E1891" w:rsidP="007E1891">
                              <w:pPr>
                                <w:jc w:val="center"/>
                                <w:rPr>
                                  <w:rFonts w:ascii="Open Sans Extrabold" w:hAnsi="Open Sans Extrabold" w:cs="Open Sans Extrabold"/>
                                  <w:color w:val="FFFFFF" w:themeColor="background1"/>
                                </w:rPr>
                              </w:pPr>
                              <w:r w:rsidRPr="007E1891">
                                <w:rPr>
                                  <w:rFonts w:ascii="Open Sans Extrabold" w:hAnsi="Open Sans Extrabold" w:cs="Open Sans Extrabold"/>
                                  <w:color w:val="FFFFFF" w:themeColor="background1"/>
                                </w:rPr>
                                <w:t>ADJUST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7410" y="774"/>
                            <a:ext cx="12534" cy="531"/>
                          </a:xfrm>
                          <a:custGeom>
                            <a:avLst/>
                            <a:gdLst>
                              <a:gd name="T0" fmla="+- 0 7661 2900"/>
                              <a:gd name="T1" fmla="*/ T0 w 5014"/>
                              <a:gd name="T2" fmla="+- 0 586 586"/>
                              <a:gd name="T3" fmla="*/ 586 h 507"/>
                              <a:gd name="T4" fmla="+- 0 2900 2900"/>
                              <a:gd name="T5" fmla="*/ T4 w 5014"/>
                              <a:gd name="T6" fmla="+- 0 586 586"/>
                              <a:gd name="T7" fmla="*/ 586 h 507"/>
                              <a:gd name="T8" fmla="+- 0 2900 2900"/>
                              <a:gd name="T9" fmla="*/ T8 w 5014"/>
                              <a:gd name="T10" fmla="+- 0 1093 586"/>
                              <a:gd name="T11" fmla="*/ 1093 h 507"/>
                              <a:gd name="T12" fmla="+- 0 7661 2900"/>
                              <a:gd name="T13" fmla="*/ T12 w 5014"/>
                              <a:gd name="T14" fmla="+- 0 1093 586"/>
                              <a:gd name="T15" fmla="*/ 1093 h 507"/>
                              <a:gd name="T16" fmla="+- 0 7914 2900"/>
                              <a:gd name="T17" fmla="*/ T16 w 5014"/>
                              <a:gd name="T18" fmla="+- 0 839 586"/>
                              <a:gd name="T19" fmla="*/ 839 h 507"/>
                              <a:gd name="T20" fmla="+- 0 7661 2900"/>
                              <a:gd name="T21" fmla="*/ T20 w 5014"/>
                              <a:gd name="T22" fmla="+- 0 586 586"/>
                              <a:gd name="T23" fmla="*/ 586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014" h="507">
                                <a:moveTo>
                                  <a:pt x="47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"/>
                                </a:lnTo>
                                <a:lnTo>
                                  <a:pt x="4761" y="507"/>
                                </a:lnTo>
                                <a:lnTo>
                                  <a:pt x="5014" y="253"/>
                                </a:lnTo>
                                <a:lnTo>
                                  <a:pt x="4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5A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BCA26" w14:textId="087B66B9" w:rsidR="007E1891" w:rsidRPr="007E1891" w:rsidRDefault="007E1891" w:rsidP="007E1891">
                              <w:pPr>
                                <w:jc w:val="center"/>
                                <w:rPr>
                                  <w:rFonts w:ascii="Open Sans Extrabold" w:hAnsi="Open Sans Extrabold" w:cs="Open Sans Extrabold"/>
                                  <w:color w:val="FFFFFF" w:themeColor="background1"/>
                                </w:rPr>
                              </w:pPr>
                              <w:r w:rsidRPr="007E1891">
                                <w:rPr>
                                  <w:rFonts w:ascii="Open Sans Extrabold" w:hAnsi="Open Sans Extrabold" w:cs="Open Sans Extrabold"/>
                                  <w:color w:val="FFFFFF" w:themeColor="background1"/>
                                </w:rPr>
                                <w:t>ANALYZE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096" y="772"/>
                            <a:ext cx="5003" cy="532"/>
                          </a:xfrm>
                          <a:custGeom>
                            <a:avLst/>
                            <a:gdLst>
                              <a:gd name="T0" fmla="+- 0 3065 1440"/>
                              <a:gd name="T1" fmla="*/ T0 w 1878"/>
                              <a:gd name="T2" fmla="+- 0 586 586"/>
                              <a:gd name="T3" fmla="*/ 586 h 506"/>
                              <a:gd name="T4" fmla="+- 0 1440 1440"/>
                              <a:gd name="T5" fmla="*/ T4 w 1878"/>
                              <a:gd name="T6" fmla="+- 0 586 586"/>
                              <a:gd name="T7" fmla="*/ 586 h 506"/>
                              <a:gd name="T8" fmla="+- 0 1440 1440"/>
                              <a:gd name="T9" fmla="*/ T8 w 1878"/>
                              <a:gd name="T10" fmla="+- 0 1092 586"/>
                              <a:gd name="T11" fmla="*/ 1092 h 506"/>
                              <a:gd name="T12" fmla="+- 0 3065 1440"/>
                              <a:gd name="T13" fmla="*/ T12 w 1878"/>
                              <a:gd name="T14" fmla="+- 0 1092 586"/>
                              <a:gd name="T15" fmla="*/ 1092 h 506"/>
                              <a:gd name="T16" fmla="+- 0 3318 1440"/>
                              <a:gd name="T17" fmla="*/ T16 w 1878"/>
                              <a:gd name="T18" fmla="+- 0 839 586"/>
                              <a:gd name="T19" fmla="*/ 839 h 506"/>
                              <a:gd name="T20" fmla="+- 0 3065 1440"/>
                              <a:gd name="T21" fmla="*/ T20 w 1878"/>
                              <a:gd name="T22" fmla="+- 0 586 586"/>
                              <a:gd name="T23" fmla="*/ 586 h 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78" h="506">
                                <a:moveTo>
                                  <a:pt x="1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6"/>
                                </a:lnTo>
                                <a:lnTo>
                                  <a:pt x="1625" y="506"/>
                                </a:lnTo>
                                <a:lnTo>
                                  <a:pt x="1878" y="253"/>
                                </a:lnTo>
                                <a:lnTo>
                                  <a:pt x="1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B5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518B8" w14:textId="3C3E6973" w:rsidR="007E1891" w:rsidRPr="007E1891" w:rsidRDefault="007E1891" w:rsidP="007E1891">
                              <w:pPr>
                                <w:jc w:val="center"/>
                                <w:rPr>
                                  <w:rFonts w:ascii="Open Sans Extrabold" w:hAnsi="Open Sans Extrabold" w:cs="Open Sans Extrabold"/>
                                  <w:color w:val="FFFFFF" w:themeColor="background1"/>
                                </w:rPr>
                              </w:pPr>
                              <w:r w:rsidRPr="007E1891">
                                <w:rPr>
                                  <w:rFonts w:ascii="Open Sans Extrabold" w:hAnsi="Open Sans Extrabold" w:cs="Open Sans Extrabold"/>
                                  <w:color w:val="FFFFFF" w:themeColor="background1"/>
                                </w:rPr>
                                <w:t>AC</w:t>
                              </w:r>
                              <w:r w:rsidR="004B612E">
                                <w:rPr>
                                  <w:rFonts w:ascii="Open Sans Extrabold" w:hAnsi="Open Sans Extrabold" w:cs="Open Sans Extrabold"/>
                                  <w:color w:val="FFFFFF" w:themeColor="background1"/>
                                </w:rPr>
                                <w:t>Q</w:t>
                              </w:r>
                              <w:r w:rsidRPr="007E1891">
                                <w:rPr>
                                  <w:rFonts w:ascii="Open Sans Extrabold" w:hAnsi="Open Sans Extrabold" w:cs="Open Sans Extrabold"/>
                                  <w:color w:val="FFFFFF" w:themeColor="background1"/>
                                </w:rPr>
                                <w:t>UIRE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23A0426" id="Group 2" o:spid="_x0000_s1026" alt="Title: Acuire, Analyze, and Adjust" style="position:absolute;left:0;text-align:left;margin-left:-1.6pt;margin-top:.65pt;width:673.45pt;height:23.3pt;z-index:1096;mso-wrap-distance-left:0;mso-wrap-distance-right:0;mso-position-horizontal-relative:margin" coordorigin="3096,770" coordsize="32667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">
                <v:shape id="Freeform 11" o:spid="_x0000_s1027" style="position:absolute;left:19150;top:770;width:16613;height:534;visibility:visible;mso-wrap-style:square;v-text-anchor:top" coordsize="6720,5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" adj="-11796480,,5400" path="m6467,l,,,506r6467,l6720,253,6467,xe" fillcolor="#004e89" stroked="f">
                  <v:stroke joinstyle="round"/>
                  <v:formulas/>
                  <v:path arrowok="t" o:connecttype="custom" o:connectlocs="15988,623;0,623;0,1157;15988,1157;16613,890;15988,623" o:connectangles="0,0,0,0,0,0" textboxrect="0,0,6720,506"/>
                  <v:textbox>
                    <w:txbxContent>
                      <w:p w14:paraId="39EB2D05" w14:textId="402CB1C2" w:rsidR="007E1891" w:rsidRPr="007E1891" w:rsidRDefault="007E1891" w:rsidP="007E1891">
                        <w:pPr>
                          <w:jc w:val="center"/>
                          <w:rPr>
                            <w:rFonts w:ascii="Open Sans Extrabold" w:hAnsi="Open Sans Extrabold" w:cs="Open Sans Extrabold"/>
                            <w:color w:val="FFFFFF" w:themeColor="background1"/>
                          </w:rPr>
                        </w:pPr>
                        <w:r w:rsidRPr="007E1891">
                          <w:rPr>
                            <w:rFonts w:ascii="Open Sans Extrabold" w:hAnsi="Open Sans Extrabold" w:cs="Open Sans Extrabold"/>
                            <w:color w:val="FFFFFF" w:themeColor="background1"/>
                          </w:rPr>
                          <w:t>ADJUST</w:t>
                        </w:r>
                      </w:p>
                    </w:txbxContent>
                  </v:textbox>
                </v:shape>
                <v:shape id="Freeform 9" o:spid="_x0000_s1028" style="position:absolute;left:7410;top:774;width:12534;height:531;visibility:visible;mso-wrap-style:square;v-text-anchor:top" coordsize="5014,5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" adj="-11796480,,5400" path="m4761,l,,,507r4761,l5014,253,4761,xe" fillcolor="#f75a22" stroked="f">
                  <v:stroke joinstyle="round"/>
                  <v:formulas/>
                  <v:path arrowok="t" o:connecttype="custom" o:connectlocs="11902,614;0,614;0,1145;11902,1145;12534,879;11902,614" o:connectangles="0,0,0,0,0,0" textboxrect="0,0,5014,507"/>
                  <v:textbox>
                    <w:txbxContent>
                      <w:p w14:paraId="250BCA26" w14:textId="087B66B9" w:rsidR="007E1891" w:rsidRPr="007E1891" w:rsidRDefault="007E1891" w:rsidP="007E1891">
                        <w:pPr>
                          <w:jc w:val="center"/>
                          <w:rPr>
                            <w:rFonts w:ascii="Open Sans Extrabold" w:hAnsi="Open Sans Extrabold" w:cs="Open Sans Extrabold"/>
                            <w:color w:val="FFFFFF" w:themeColor="background1"/>
                          </w:rPr>
                        </w:pPr>
                        <w:r w:rsidRPr="007E1891">
                          <w:rPr>
                            <w:rFonts w:ascii="Open Sans Extrabold" w:hAnsi="Open Sans Extrabold" w:cs="Open Sans Extrabold"/>
                            <w:color w:val="FFFFFF" w:themeColor="background1"/>
                          </w:rPr>
                          <w:t>ANALYZE</w:t>
                        </w:r>
                      </w:p>
                    </w:txbxContent>
                  </v:textbox>
                </v:shape>
                <v:shape id="Freeform 7" o:spid="_x0000_s1029" style="position:absolute;left:3096;top:772;width:5003;height:532;visibility:visible;mso-wrap-style:square;v-text-anchor:top" coordsize="1878,5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" adj="-11796480,,5400" path="m1625,l,,,506r1625,l1878,253,1625,xe" fillcolor="#39b54a" stroked="f">
                  <v:stroke joinstyle="round"/>
                  <v:formulas/>
                  <v:path arrowok="t" o:connecttype="custom" o:connectlocs="4329,616;0,616;0,1148;4329,1148;5003,882;4329,616" o:connectangles="0,0,0,0,0,0" textboxrect="0,0,1878,506"/>
                  <v:textbox>
                    <w:txbxContent>
                      <w:p w14:paraId="1B7518B8" w14:textId="3C3E6973" w:rsidR="007E1891" w:rsidRPr="007E1891" w:rsidRDefault="007E1891" w:rsidP="007E1891">
                        <w:pPr>
                          <w:jc w:val="center"/>
                          <w:rPr>
                            <w:rFonts w:ascii="Open Sans Extrabold" w:hAnsi="Open Sans Extrabold" w:cs="Open Sans Extrabold"/>
                            <w:color w:val="FFFFFF" w:themeColor="background1"/>
                          </w:rPr>
                        </w:pPr>
                        <w:r w:rsidRPr="007E1891">
                          <w:rPr>
                            <w:rFonts w:ascii="Open Sans Extrabold" w:hAnsi="Open Sans Extrabold" w:cs="Open Sans Extrabold"/>
                            <w:color w:val="FFFFFF" w:themeColor="background1"/>
                          </w:rPr>
                          <w:t>AC</w:t>
                        </w:r>
                        <w:r w:rsidR="004B612E">
                          <w:rPr>
                            <w:rFonts w:ascii="Open Sans Extrabold" w:hAnsi="Open Sans Extrabold" w:cs="Open Sans Extrabold"/>
                            <w:color w:val="FFFFFF" w:themeColor="background1"/>
                          </w:rPr>
                          <w:t>Q</w:t>
                        </w:r>
                        <w:r w:rsidRPr="007E1891">
                          <w:rPr>
                            <w:rFonts w:ascii="Open Sans Extrabold" w:hAnsi="Open Sans Extrabold" w:cs="Open Sans Extrabold"/>
                            <w:color w:val="FFFFFF" w:themeColor="background1"/>
                          </w:rPr>
                          <w:t>UIRE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8F3FB92" w14:textId="4DB4C380" w:rsidR="005B7C08" w:rsidRDefault="005B7C08">
      <w:pPr>
        <w:spacing w:line="256" w:lineRule="auto"/>
        <w:ind w:left="2490" w:right="1378" w:hanging="195"/>
        <w:rPr>
          <w:i/>
          <w:sz w:val="20"/>
        </w:rPr>
      </w:pPr>
    </w:p>
    <w:tbl>
      <w:tblPr>
        <w:tblW w:w="132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4770"/>
        <w:gridCol w:w="16"/>
        <w:gridCol w:w="3314"/>
        <w:gridCol w:w="15"/>
        <w:gridCol w:w="3405"/>
      </w:tblGrid>
      <w:tr w:rsidR="00E55598" w14:paraId="11867200" w14:textId="77777777" w:rsidTr="00D35BF7">
        <w:trPr>
          <w:trHeight w:val="404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20A32EE" w14:textId="77777777" w:rsidR="00E55598" w:rsidRPr="00824AB3" w:rsidRDefault="00AF058B" w:rsidP="00824AB3">
            <w:pPr>
              <w:pStyle w:val="TableParagraph"/>
              <w:spacing w:line="210" w:lineRule="exact"/>
              <w:ind w:left="107"/>
              <w:rPr>
                <w:rFonts w:ascii="Open Sans Extrabold" w:hAnsi="Open Sans Extrabold" w:cs="Open Sans Extrabold"/>
                <w:b/>
                <w:color w:val="004E89"/>
              </w:rPr>
            </w:pPr>
            <w:r w:rsidRPr="00824AB3">
              <w:rPr>
                <w:rFonts w:ascii="Open Sans Extrabold" w:hAnsi="Open Sans Extrabold" w:cs="Open Sans Extrabold"/>
                <w:b/>
                <w:color w:val="004E89"/>
              </w:rPr>
              <w:t>Section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14:paraId="4C50B0D9" w14:textId="77777777" w:rsidR="00E55598" w:rsidRPr="00824AB3" w:rsidRDefault="00AF058B" w:rsidP="00824AB3">
            <w:pPr>
              <w:pStyle w:val="TableParagraph"/>
              <w:spacing w:line="210" w:lineRule="exact"/>
              <w:ind w:left="108"/>
              <w:rPr>
                <w:rFonts w:ascii="Open Sans Extrabold" w:hAnsi="Open Sans Extrabold" w:cs="Open Sans Extrabold"/>
                <w:b/>
                <w:color w:val="004E89"/>
              </w:rPr>
            </w:pPr>
            <w:r w:rsidRPr="00824AB3">
              <w:rPr>
                <w:rFonts w:ascii="Open Sans Extrabold" w:hAnsi="Open Sans Extrabold" w:cs="Open Sans Extrabold"/>
                <w:b/>
                <w:color w:val="004E89"/>
              </w:rPr>
              <w:t>Questions to Consider</w:t>
            </w:r>
          </w:p>
        </w:tc>
        <w:tc>
          <w:tcPr>
            <w:tcW w:w="3345" w:type="dxa"/>
            <w:gridSpan w:val="3"/>
            <w:shd w:val="clear" w:color="auto" w:fill="D9D9D9" w:themeFill="background1" w:themeFillShade="D9"/>
            <w:vAlign w:val="center"/>
          </w:tcPr>
          <w:p w14:paraId="4E9D4D3F" w14:textId="77777777" w:rsidR="00E55598" w:rsidRPr="00824AB3" w:rsidRDefault="00AF058B" w:rsidP="00824AB3">
            <w:pPr>
              <w:pStyle w:val="TableParagraph"/>
              <w:spacing w:line="210" w:lineRule="exact"/>
              <w:ind w:left="105"/>
              <w:rPr>
                <w:rFonts w:ascii="Open Sans Extrabold" w:hAnsi="Open Sans Extrabold" w:cs="Open Sans Extrabold"/>
                <w:b/>
                <w:color w:val="004E89"/>
              </w:rPr>
            </w:pPr>
            <w:r w:rsidRPr="00824AB3">
              <w:rPr>
                <w:rFonts w:ascii="Open Sans Extrabold" w:hAnsi="Open Sans Extrabold" w:cs="Open Sans Extrabold"/>
                <w:b/>
                <w:color w:val="004E89"/>
              </w:rPr>
              <w:t>Action to Take</w:t>
            </w:r>
          </w:p>
        </w:tc>
        <w:tc>
          <w:tcPr>
            <w:tcW w:w="3405" w:type="dxa"/>
            <w:shd w:val="clear" w:color="auto" w:fill="D9D9D9" w:themeFill="background1" w:themeFillShade="D9"/>
            <w:vAlign w:val="center"/>
          </w:tcPr>
          <w:p w14:paraId="03A9509E" w14:textId="77777777" w:rsidR="00E55598" w:rsidRPr="00824AB3" w:rsidRDefault="00AF058B" w:rsidP="00824AB3">
            <w:pPr>
              <w:pStyle w:val="TableParagraph"/>
              <w:spacing w:line="210" w:lineRule="exact"/>
              <w:ind w:left="107"/>
              <w:rPr>
                <w:rFonts w:ascii="Open Sans Extrabold" w:hAnsi="Open Sans Extrabold" w:cs="Open Sans Extrabold"/>
                <w:b/>
                <w:color w:val="004E89"/>
              </w:rPr>
            </w:pPr>
            <w:r w:rsidRPr="00824AB3">
              <w:rPr>
                <w:rFonts w:ascii="Open Sans Extrabold" w:hAnsi="Open Sans Extrabold" w:cs="Open Sans Extrabold"/>
                <w:b/>
                <w:color w:val="004E89"/>
              </w:rPr>
              <w:t>Planned Action Steps</w:t>
            </w:r>
          </w:p>
        </w:tc>
      </w:tr>
      <w:tr w:rsidR="00E55598" w14:paraId="59476547" w14:textId="77777777" w:rsidTr="00D35BF7">
        <w:trPr>
          <w:trHeight w:val="1961"/>
        </w:trPr>
        <w:tc>
          <w:tcPr>
            <w:tcW w:w="1710" w:type="dxa"/>
          </w:tcPr>
          <w:p w14:paraId="6DD0311B" w14:textId="77777777" w:rsidR="00E55598" w:rsidRPr="00D51307" w:rsidRDefault="00AF058B" w:rsidP="00A614BD">
            <w:pPr>
              <w:pStyle w:val="TableParagraph"/>
              <w:ind w:left="107" w:right="156"/>
              <w:rPr>
                <w:rFonts w:ascii="Open Sans" w:hAnsi="Open Sans" w:cs="Open Sans"/>
                <w:b/>
              </w:rPr>
            </w:pPr>
            <w:r w:rsidRPr="00D51307">
              <w:rPr>
                <w:rFonts w:ascii="Open Sans" w:hAnsi="Open Sans" w:cs="Open Sans"/>
                <w:b/>
              </w:rPr>
              <w:t xml:space="preserve">Total </w:t>
            </w:r>
            <w:r w:rsidRPr="00D51307">
              <w:rPr>
                <w:rFonts w:ascii="Open Sans" w:hAnsi="Open Sans" w:cs="Open Sans"/>
                <w:b/>
                <w:w w:val="95"/>
              </w:rPr>
              <w:t>Reports</w:t>
            </w:r>
          </w:p>
        </w:tc>
        <w:tc>
          <w:tcPr>
            <w:tcW w:w="4770" w:type="dxa"/>
          </w:tcPr>
          <w:p w14:paraId="66F8C11B" w14:textId="7981A2ED" w:rsidR="00E55598" w:rsidRPr="00D51307" w:rsidRDefault="00AF058B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ind w:right="1142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 xml:space="preserve">What percentage of your </w:t>
            </w:r>
            <w:r w:rsidR="004E45A2" w:rsidRPr="00D51307">
              <w:rPr>
                <w:rFonts w:asciiTheme="minorHAnsi" w:hAnsiTheme="minorHAnsi" w:cstheme="minorHAnsi"/>
              </w:rPr>
              <w:t>learner</w:t>
            </w:r>
            <w:r w:rsidRPr="00D51307">
              <w:rPr>
                <w:rFonts w:asciiTheme="minorHAnsi" w:hAnsiTheme="minorHAnsi" w:cstheme="minorHAnsi"/>
              </w:rPr>
              <w:t>s</w:t>
            </w:r>
            <w:r w:rsidRPr="00D5130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are represented on the</w:t>
            </w:r>
            <w:r w:rsidRPr="00D5130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report?</w:t>
            </w:r>
          </w:p>
          <w:p w14:paraId="70152304" w14:textId="77777777" w:rsidR="00E55598" w:rsidRPr="00D51307" w:rsidRDefault="00AF058B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ind w:right="575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How would increasing the number of</w:t>
            </w:r>
            <w:r w:rsidRPr="00D51307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reports submitted improve</w:t>
            </w:r>
            <w:r w:rsidRPr="00D5130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programming?</w:t>
            </w:r>
          </w:p>
          <w:p w14:paraId="75ED341B" w14:textId="77777777" w:rsidR="00E55598" w:rsidRPr="00D51307" w:rsidRDefault="00AF058B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13" w:line="230" w:lineRule="exact"/>
              <w:ind w:right="600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Would your program benefit from</w:t>
            </w:r>
            <w:r w:rsidRPr="00D51307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submitting reports</w:t>
            </w:r>
            <w:r w:rsidRPr="00D5130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quarterly?</w:t>
            </w:r>
          </w:p>
        </w:tc>
        <w:tc>
          <w:tcPr>
            <w:tcW w:w="3345" w:type="dxa"/>
            <w:gridSpan w:val="3"/>
          </w:tcPr>
          <w:p w14:paraId="27F4E021" w14:textId="4856463C" w:rsidR="00E55598" w:rsidRPr="00D51307" w:rsidRDefault="002B6B35">
            <w:pPr>
              <w:pStyle w:val="TableParagraph"/>
              <w:ind w:left="105" w:right="403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Contact</w:t>
            </w:r>
            <w:r w:rsidR="00AF058B" w:rsidRPr="00D51307">
              <w:rPr>
                <w:rFonts w:asciiTheme="minorHAnsi" w:hAnsiTheme="minorHAnsi" w:cstheme="minorHAnsi"/>
              </w:rPr>
              <w:t xml:space="preserve"> KayLynn Hamilton </w:t>
            </w:r>
            <w:r w:rsidR="00CE2727" w:rsidRPr="00D51307">
              <w:rPr>
                <w:rFonts w:asciiTheme="minorHAnsi" w:hAnsiTheme="minorHAnsi" w:cstheme="minorHAnsi"/>
              </w:rPr>
              <w:t>(</w:t>
            </w:r>
            <w:hyperlink r:id="rId8" w:history="1">
              <w:r w:rsidR="00CE2727" w:rsidRPr="00D51307">
                <w:rPr>
                  <w:rStyle w:val="Hyperlink"/>
                  <w:rFonts w:asciiTheme="minorHAnsi" w:hAnsiTheme="minorHAnsi" w:cstheme="minorHAnsi"/>
                </w:rPr>
                <w:t>klh267@psu.edu</w:t>
              </w:r>
            </w:hyperlink>
            <w:r w:rsidR="00CE2727" w:rsidRPr="00D51307">
              <w:rPr>
                <w:rFonts w:asciiTheme="minorHAnsi" w:hAnsiTheme="minorHAnsi" w:cstheme="minorHAnsi"/>
              </w:rPr>
              <w:t xml:space="preserve">) </w:t>
            </w:r>
            <w:r w:rsidR="00AF058B" w:rsidRPr="00D51307">
              <w:rPr>
                <w:rFonts w:asciiTheme="minorHAnsi" w:hAnsiTheme="minorHAnsi" w:cstheme="minorHAnsi"/>
              </w:rPr>
              <w:t>or Chrissie Klinger</w:t>
            </w:r>
            <w:r w:rsidR="00CE2727" w:rsidRPr="00D51307"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="00CE2727" w:rsidRPr="00D51307">
                <w:rPr>
                  <w:rStyle w:val="Hyperlink"/>
                  <w:rFonts w:asciiTheme="minorHAnsi" w:hAnsiTheme="minorHAnsi" w:cstheme="minorHAnsi"/>
                </w:rPr>
                <w:t>(cok5111@psu.edu</w:t>
              </w:r>
            </w:hyperlink>
            <w:r w:rsidR="00CE2727" w:rsidRPr="00D51307">
              <w:rPr>
                <w:rFonts w:asciiTheme="minorHAnsi" w:hAnsiTheme="minorHAnsi" w:cstheme="minorHAnsi"/>
              </w:rPr>
              <w:t xml:space="preserve">) </w:t>
            </w:r>
            <w:r w:rsidR="00AF058B" w:rsidRPr="00D51307">
              <w:rPr>
                <w:rFonts w:asciiTheme="minorHAnsi" w:hAnsiTheme="minorHAnsi" w:cstheme="minorHAnsi"/>
              </w:rPr>
              <w:t>about quarterly reporting and real-time report options.</w:t>
            </w:r>
          </w:p>
        </w:tc>
        <w:tc>
          <w:tcPr>
            <w:tcW w:w="3405" w:type="dxa"/>
          </w:tcPr>
          <w:p w14:paraId="78471040" w14:textId="77777777" w:rsidR="00E55598" w:rsidRPr="00D51307" w:rsidRDefault="00E5559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55598" w14:paraId="791B5F75" w14:textId="77777777" w:rsidTr="00D35BF7">
        <w:trPr>
          <w:trHeight w:val="2231"/>
        </w:trPr>
        <w:tc>
          <w:tcPr>
            <w:tcW w:w="1710" w:type="dxa"/>
          </w:tcPr>
          <w:p w14:paraId="230542B7" w14:textId="77777777" w:rsidR="00E55598" w:rsidRPr="00D51307" w:rsidRDefault="00AF058B" w:rsidP="00A614BD">
            <w:pPr>
              <w:pStyle w:val="TableParagraph"/>
              <w:ind w:left="107"/>
              <w:rPr>
                <w:rFonts w:ascii="Open Sans" w:hAnsi="Open Sans" w:cs="Open Sans"/>
                <w:b/>
              </w:rPr>
            </w:pPr>
            <w:r w:rsidRPr="00D51307">
              <w:rPr>
                <w:rFonts w:ascii="Open Sans" w:hAnsi="Open Sans" w:cs="Open Sans"/>
                <w:b/>
              </w:rPr>
              <w:t xml:space="preserve">Student </w:t>
            </w:r>
            <w:r w:rsidRPr="00D51307">
              <w:rPr>
                <w:rFonts w:ascii="Open Sans" w:hAnsi="Open Sans" w:cs="Open Sans"/>
                <w:b/>
                <w:w w:val="95"/>
              </w:rPr>
              <w:t>Enrollment</w:t>
            </w:r>
          </w:p>
        </w:tc>
        <w:tc>
          <w:tcPr>
            <w:tcW w:w="4770" w:type="dxa"/>
          </w:tcPr>
          <w:p w14:paraId="1BDD2BDE" w14:textId="7D5453A8" w:rsidR="00E55598" w:rsidRPr="00D51307" w:rsidRDefault="00AF058B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ind w:right="189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 xml:space="preserve">Are you tracking all levels of </w:t>
            </w:r>
            <w:r w:rsidR="004E45A2" w:rsidRPr="00D51307">
              <w:rPr>
                <w:rFonts w:asciiTheme="minorHAnsi" w:hAnsiTheme="minorHAnsi" w:cstheme="minorHAnsi"/>
              </w:rPr>
              <w:t>learner</w:t>
            </w:r>
            <w:r w:rsidRPr="00D51307">
              <w:rPr>
                <w:rFonts w:asciiTheme="minorHAnsi" w:hAnsiTheme="minorHAnsi" w:cstheme="minorHAnsi"/>
              </w:rPr>
              <w:t>s (e.g.,</w:t>
            </w:r>
            <w:r w:rsidRPr="00D51307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adult basic, adult secondary, English language learners)?</w:t>
            </w:r>
          </w:p>
          <w:p w14:paraId="0EE89EC5" w14:textId="271A5416" w:rsidR="00E55598" w:rsidRPr="00D51307" w:rsidRDefault="00AF058B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ind w:right="251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 xml:space="preserve">Are you including all </w:t>
            </w:r>
            <w:r w:rsidR="004E45A2" w:rsidRPr="00D51307">
              <w:rPr>
                <w:rFonts w:asciiTheme="minorHAnsi" w:hAnsiTheme="minorHAnsi" w:cstheme="minorHAnsi"/>
              </w:rPr>
              <w:t>learner</w:t>
            </w:r>
            <w:r w:rsidRPr="00D51307">
              <w:rPr>
                <w:rFonts w:asciiTheme="minorHAnsi" w:hAnsiTheme="minorHAnsi" w:cstheme="minorHAnsi"/>
              </w:rPr>
              <w:t xml:space="preserve">s in career pathway programming? </w:t>
            </w:r>
            <w:r w:rsidRPr="00D51307">
              <w:rPr>
                <w:rFonts w:asciiTheme="minorHAnsi" w:hAnsiTheme="minorHAnsi" w:cstheme="minorHAnsi"/>
                <w:spacing w:val="1"/>
              </w:rPr>
              <w:t xml:space="preserve">Why </w:t>
            </w:r>
            <w:r w:rsidRPr="00D51307">
              <w:rPr>
                <w:rFonts w:asciiTheme="minorHAnsi" w:hAnsiTheme="minorHAnsi" w:cstheme="minorHAnsi"/>
              </w:rPr>
              <w:t>or why</w:t>
            </w:r>
            <w:r w:rsidRPr="00D5130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not?</w:t>
            </w:r>
          </w:p>
          <w:p w14:paraId="0D1FAB1C" w14:textId="45DDA6C8" w:rsidR="00E55598" w:rsidRPr="00D51307" w:rsidRDefault="00AF058B" w:rsidP="004B612E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" w:line="230" w:lineRule="exact"/>
              <w:ind w:right="400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Is there a certain population (e.g., dislocated workers, reentrants, basic skills deficient)</w:t>
            </w:r>
            <w:r w:rsidRPr="00D51307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you may need to</w:t>
            </w:r>
            <w:r w:rsidRPr="00D5130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recruit?</w:t>
            </w:r>
          </w:p>
        </w:tc>
        <w:tc>
          <w:tcPr>
            <w:tcW w:w="3345" w:type="dxa"/>
            <w:gridSpan w:val="3"/>
          </w:tcPr>
          <w:p w14:paraId="12F405D9" w14:textId="6AA87B5F" w:rsidR="00E55598" w:rsidRPr="00D51307" w:rsidRDefault="002B6B35">
            <w:pPr>
              <w:pStyle w:val="TableParagraph"/>
              <w:ind w:left="105" w:right="237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Contact</w:t>
            </w:r>
            <w:r w:rsidR="00AF058B" w:rsidRPr="00D51307">
              <w:rPr>
                <w:rFonts w:asciiTheme="minorHAnsi" w:hAnsiTheme="minorHAnsi" w:cstheme="minorHAnsi"/>
              </w:rPr>
              <w:t xml:space="preserve"> KayLynn Hamilton or Chrissie Klinger and your workforce partners to develop an effective career pathways referral process.</w:t>
            </w:r>
          </w:p>
        </w:tc>
        <w:tc>
          <w:tcPr>
            <w:tcW w:w="3405" w:type="dxa"/>
          </w:tcPr>
          <w:p w14:paraId="369123E9" w14:textId="77777777" w:rsidR="00E55598" w:rsidRPr="00D51307" w:rsidRDefault="00E5559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55598" w14:paraId="23AC5B3B" w14:textId="77777777" w:rsidTr="00D35BF7">
        <w:trPr>
          <w:trHeight w:val="1520"/>
        </w:trPr>
        <w:tc>
          <w:tcPr>
            <w:tcW w:w="1710" w:type="dxa"/>
          </w:tcPr>
          <w:p w14:paraId="2A2A0617" w14:textId="77777777" w:rsidR="005D671A" w:rsidRPr="00D51307" w:rsidRDefault="00AF058B" w:rsidP="00A614BD">
            <w:pPr>
              <w:pStyle w:val="TableParagraph"/>
              <w:ind w:left="107" w:right="80"/>
              <w:rPr>
                <w:rFonts w:ascii="Open Sans" w:hAnsi="Open Sans" w:cs="Open Sans"/>
                <w:b/>
              </w:rPr>
            </w:pPr>
            <w:r w:rsidRPr="00D51307">
              <w:rPr>
                <w:rFonts w:ascii="Open Sans" w:hAnsi="Open Sans" w:cs="Open Sans"/>
                <w:b/>
              </w:rPr>
              <w:t>Goals Set</w:t>
            </w:r>
          </w:p>
          <w:p w14:paraId="29385A20" w14:textId="7F7BE28C" w:rsidR="00E55598" w:rsidRPr="00D51307" w:rsidRDefault="00AF058B" w:rsidP="00A614BD">
            <w:pPr>
              <w:pStyle w:val="TableParagraph"/>
              <w:ind w:left="107" w:right="80"/>
              <w:rPr>
                <w:rFonts w:ascii="Open Sans" w:hAnsi="Open Sans" w:cs="Open Sans"/>
                <w:b/>
              </w:rPr>
            </w:pPr>
            <w:r w:rsidRPr="00D51307">
              <w:rPr>
                <w:rFonts w:ascii="Open Sans" w:hAnsi="Open Sans" w:cs="Open Sans"/>
                <w:b/>
              </w:rPr>
              <w:t xml:space="preserve"> </w:t>
            </w:r>
            <w:r w:rsidR="001E4234" w:rsidRPr="00D51307">
              <w:rPr>
                <w:rFonts w:ascii="Open Sans" w:hAnsi="Open Sans" w:cs="Open Sans"/>
                <w:b/>
              </w:rPr>
              <w:t>vs.</w:t>
            </w:r>
            <w:r w:rsidRPr="00D51307">
              <w:rPr>
                <w:rFonts w:ascii="Open Sans" w:hAnsi="Open Sans" w:cs="Open Sans"/>
                <w:b/>
              </w:rPr>
              <w:t xml:space="preserve"> Met</w:t>
            </w:r>
          </w:p>
        </w:tc>
        <w:tc>
          <w:tcPr>
            <w:tcW w:w="4770" w:type="dxa"/>
          </w:tcPr>
          <w:p w14:paraId="71E6592F" w14:textId="77777777" w:rsidR="00E55598" w:rsidRPr="00D51307" w:rsidRDefault="00AF058B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ind w:right="365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Is there a large discrepancy between goals</w:t>
            </w:r>
            <w:r w:rsidRPr="00D51307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set and</w:t>
            </w:r>
            <w:r w:rsidRPr="00D5130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met?</w:t>
            </w:r>
          </w:p>
          <w:p w14:paraId="2CF85EEE" w14:textId="381893CE" w:rsidR="00E55598" w:rsidRPr="00D51307" w:rsidRDefault="00AF058B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42" w:lineRule="auto"/>
              <w:ind w:right="309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What additional supports may need to be put</w:t>
            </w:r>
            <w:r w:rsidRPr="00D51307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 xml:space="preserve">in place to help more </w:t>
            </w:r>
            <w:r w:rsidR="004E45A2" w:rsidRPr="00D51307">
              <w:rPr>
                <w:rFonts w:asciiTheme="minorHAnsi" w:hAnsiTheme="minorHAnsi" w:cstheme="minorHAnsi"/>
              </w:rPr>
              <w:t>learner</w:t>
            </w:r>
            <w:r w:rsidRPr="00D51307">
              <w:rPr>
                <w:rFonts w:asciiTheme="minorHAnsi" w:hAnsiTheme="minorHAnsi" w:cstheme="minorHAnsi"/>
              </w:rPr>
              <w:t>s meet their</w:t>
            </w:r>
            <w:r w:rsidRPr="00D51307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goals?</w:t>
            </w:r>
          </w:p>
        </w:tc>
        <w:tc>
          <w:tcPr>
            <w:tcW w:w="3345" w:type="dxa"/>
            <w:gridSpan w:val="3"/>
          </w:tcPr>
          <w:p w14:paraId="4F5E97DE" w14:textId="50A18A42" w:rsidR="00E55598" w:rsidRPr="00D51307" w:rsidRDefault="00AF058B">
            <w:pPr>
              <w:pStyle w:val="TableParagraph"/>
              <w:ind w:left="105" w:right="138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 xml:space="preserve">Explore how your case managers and </w:t>
            </w:r>
            <w:r w:rsidR="004E45A2" w:rsidRPr="00D51307">
              <w:rPr>
                <w:rFonts w:asciiTheme="minorHAnsi" w:hAnsiTheme="minorHAnsi" w:cstheme="minorHAnsi"/>
              </w:rPr>
              <w:t>instructor</w:t>
            </w:r>
            <w:r w:rsidRPr="00D51307">
              <w:rPr>
                <w:rFonts w:asciiTheme="minorHAnsi" w:hAnsiTheme="minorHAnsi" w:cstheme="minorHAnsi"/>
              </w:rPr>
              <w:t xml:space="preserve">s are working together to help </w:t>
            </w:r>
            <w:r w:rsidR="004E45A2" w:rsidRPr="00D51307">
              <w:rPr>
                <w:rFonts w:asciiTheme="minorHAnsi" w:hAnsiTheme="minorHAnsi" w:cstheme="minorHAnsi"/>
              </w:rPr>
              <w:t>learner</w:t>
            </w:r>
            <w:r w:rsidRPr="00D51307">
              <w:rPr>
                <w:rFonts w:asciiTheme="minorHAnsi" w:hAnsiTheme="minorHAnsi" w:cstheme="minorHAnsi"/>
              </w:rPr>
              <w:t>s set and achieve realistic goals.</w:t>
            </w:r>
          </w:p>
        </w:tc>
        <w:tc>
          <w:tcPr>
            <w:tcW w:w="3405" w:type="dxa"/>
          </w:tcPr>
          <w:p w14:paraId="7AF4FD75" w14:textId="77777777" w:rsidR="00E55598" w:rsidRPr="00D51307" w:rsidRDefault="00E5559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A63CF7" w14:paraId="3BC0B1D9" w14:textId="77777777" w:rsidTr="00D35BF7">
        <w:trPr>
          <w:trHeight w:val="981"/>
        </w:trPr>
        <w:tc>
          <w:tcPr>
            <w:tcW w:w="1710" w:type="dxa"/>
          </w:tcPr>
          <w:p w14:paraId="3F7CC13F" w14:textId="7850E0CB" w:rsidR="00A63CF7" w:rsidRPr="00D51307" w:rsidRDefault="00A63CF7" w:rsidP="00A614BD">
            <w:pPr>
              <w:pStyle w:val="TableParagraph"/>
              <w:ind w:left="107" w:right="80"/>
              <w:rPr>
                <w:rFonts w:ascii="Open Sans" w:hAnsi="Open Sans" w:cs="Open Sans"/>
                <w:b/>
              </w:rPr>
            </w:pPr>
            <w:r w:rsidRPr="00D51307">
              <w:rPr>
                <w:rFonts w:ascii="Open Sans" w:hAnsi="Open Sans" w:cs="Open Sans"/>
                <w:b/>
              </w:rPr>
              <w:t>Career Goal Setting</w:t>
            </w:r>
          </w:p>
        </w:tc>
        <w:tc>
          <w:tcPr>
            <w:tcW w:w="4770" w:type="dxa"/>
          </w:tcPr>
          <w:p w14:paraId="430EB34F" w14:textId="08ACAA65" w:rsidR="00A63CF7" w:rsidRPr="00D51307" w:rsidRDefault="00A63CF7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ind w:right="365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Are you using a variety of assessments to help learners set career goals?</w:t>
            </w:r>
          </w:p>
          <w:p w14:paraId="300E6D7F" w14:textId="65444F8C" w:rsidR="00A63CF7" w:rsidRPr="00D51307" w:rsidRDefault="00A63CF7" w:rsidP="00A63CF7">
            <w:pPr>
              <w:pStyle w:val="TableParagraph"/>
              <w:tabs>
                <w:tab w:val="left" w:pos="468"/>
                <w:tab w:val="left" w:pos="469"/>
              </w:tabs>
              <w:ind w:left="108" w:right="365"/>
              <w:rPr>
                <w:rFonts w:asciiTheme="minorHAnsi" w:hAnsiTheme="minorHAnsi" w:cstheme="minorHAnsi"/>
              </w:rPr>
            </w:pPr>
          </w:p>
        </w:tc>
        <w:tc>
          <w:tcPr>
            <w:tcW w:w="3345" w:type="dxa"/>
            <w:gridSpan w:val="3"/>
          </w:tcPr>
          <w:p w14:paraId="348B7249" w14:textId="2B435955" w:rsidR="00D51307" w:rsidRPr="00D51307" w:rsidRDefault="00A63CF7" w:rsidP="00A74DCC">
            <w:pPr>
              <w:pStyle w:val="TableParagraph"/>
              <w:ind w:left="105" w:right="138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Explore how your case managers and instructors are working together to help learners set and achieve realistic career goals.</w:t>
            </w:r>
          </w:p>
        </w:tc>
        <w:tc>
          <w:tcPr>
            <w:tcW w:w="3405" w:type="dxa"/>
          </w:tcPr>
          <w:p w14:paraId="64AC297E" w14:textId="77777777" w:rsidR="00A63CF7" w:rsidRPr="00D51307" w:rsidRDefault="00A63C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51307" w14:paraId="34B6CC9A" w14:textId="77777777" w:rsidTr="00D35BF7">
        <w:trPr>
          <w:trHeight w:val="440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39052DA" w14:textId="2BE323A2" w:rsidR="00D51307" w:rsidRPr="00D51307" w:rsidRDefault="00D51307" w:rsidP="00D35BF7">
            <w:pPr>
              <w:pStyle w:val="TableParagraph"/>
              <w:ind w:left="107"/>
              <w:rPr>
                <w:rFonts w:ascii="Open Sans" w:hAnsi="Open Sans" w:cs="Open Sans"/>
                <w:b/>
                <w:w w:val="95"/>
              </w:rPr>
            </w:pPr>
            <w:r w:rsidRPr="00D51307">
              <w:rPr>
                <w:rFonts w:ascii="Open Sans Extrabold" w:hAnsi="Open Sans Extrabold" w:cs="Open Sans Extrabold"/>
                <w:b/>
                <w:color w:val="004E89"/>
              </w:rPr>
              <w:lastRenderedPageBreak/>
              <w:t>Section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14:paraId="72C7485D" w14:textId="43DAB6F2" w:rsidR="00D51307" w:rsidRPr="00D51307" w:rsidRDefault="00D51307" w:rsidP="00D35BF7">
            <w:pPr>
              <w:pStyle w:val="TableParagraph"/>
              <w:tabs>
                <w:tab w:val="left" w:pos="468"/>
                <w:tab w:val="left" w:pos="469"/>
              </w:tabs>
              <w:spacing w:line="242" w:lineRule="auto"/>
              <w:ind w:left="108" w:right="586"/>
              <w:rPr>
                <w:rFonts w:asciiTheme="minorHAnsi" w:hAnsiTheme="minorHAnsi" w:cstheme="minorHAnsi"/>
              </w:rPr>
            </w:pPr>
            <w:r w:rsidRPr="00824AB3">
              <w:rPr>
                <w:rFonts w:ascii="Open Sans Extrabold" w:hAnsi="Open Sans Extrabold" w:cs="Open Sans Extrabold"/>
                <w:b/>
                <w:color w:val="004E89"/>
              </w:rPr>
              <w:t xml:space="preserve">  Questions to Consider</w:t>
            </w:r>
          </w:p>
        </w:tc>
        <w:tc>
          <w:tcPr>
            <w:tcW w:w="3345" w:type="dxa"/>
            <w:gridSpan w:val="3"/>
            <w:shd w:val="clear" w:color="auto" w:fill="D9D9D9" w:themeFill="background1" w:themeFillShade="D9"/>
            <w:vAlign w:val="center"/>
          </w:tcPr>
          <w:p w14:paraId="62300973" w14:textId="38A94B7D" w:rsidR="00D51307" w:rsidRPr="00D51307" w:rsidRDefault="00D51307" w:rsidP="00D35BF7">
            <w:pPr>
              <w:pStyle w:val="TableParagraph"/>
              <w:ind w:left="105" w:right="148"/>
              <w:rPr>
                <w:rFonts w:asciiTheme="minorHAnsi" w:hAnsiTheme="minorHAnsi" w:cstheme="minorHAnsi"/>
              </w:rPr>
            </w:pPr>
            <w:r w:rsidRPr="00824AB3">
              <w:rPr>
                <w:rFonts w:ascii="Open Sans Extrabold" w:hAnsi="Open Sans Extrabold" w:cs="Open Sans Extrabold"/>
                <w:b/>
                <w:color w:val="004E89"/>
              </w:rPr>
              <w:t>Action to Take</w:t>
            </w:r>
          </w:p>
        </w:tc>
        <w:tc>
          <w:tcPr>
            <w:tcW w:w="3405" w:type="dxa"/>
            <w:shd w:val="clear" w:color="auto" w:fill="D9D9D9" w:themeFill="background1" w:themeFillShade="D9"/>
            <w:vAlign w:val="center"/>
          </w:tcPr>
          <w:p w14:paraId="67E76FBE" w14:textId="51C1D1A0" w:rsidR="00D51307" w:rsidRPr="00D51307" w:rsidRDefault="00D51307" w:rsidP="00D35B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24AB3">
              <w:rPr>
                <w:rFonts w:ascii="Open Sans Extrabold" w:hAnsi="Open Sans Extrabold" w:cs="Open Sans Extrabold"/>
                <w:b/>
                <w:color w:val="004E89"/>
              </w:rPr>
              <w:t xml:space="preserve">  Planned Action Steps</w:t>
            </w:r>
          </w:p>
        </w:tc>
      </w:tr>
      <w:tr w:rsidR="00D51307" w14:paraId="5A6277A0" w14:textId="77777777" w:rsidTr="00D35BF7">
        <w:trPr>
          <w:trHeight w:val="1379"/>
        </w:trPr>
        <w:tc>
          <w:tcPr>
            <w:tcW w:w="1710" w:type="dxa"/>
          </w:tcPr>
          <w:p w14:paraId="2634A54D" w14:textId="77777777" w:rsidR="00D51307" w:rsidRPr="00D51307" w:rsidRDefault="00D51307" w:rsidP="00D51307">
            <w:pPr>
              <w:pStyle w:val="TableParagraph"/>
              <w:ind w:left="107"/>
              <w:rPr>
                <w:rFonts w:ascii="Open Sans" w:hAnsi="Open Sans" w:cs="Open Sans"/>
                <w:b/>
              </w:rPr>
            </w:pPr>
            <w:r w:rsidRPr="00D51307">
              <w:rPr>
                <w:rFonts w:ascii="Open Sans" w:hAnsi="Open Sans" w:cs="Open Sans"/>
                <w:b/>
                <w:w w:val="95"/>
              </w:rPr>
              <w:t xml:space="preserve">Credentials </w:t>
            </w:r>
            <w:r w:rsidRPr="00D51307">
              <w:rPr>
                <w:rFonts w:ascii="Open Sans" w:hAnsi="Open Sans" w:cs="Open Sans"/>
                <w:b/>
              </w:rPr>
              <w:t>Earned</w:t>
            </w:r>
          </w:p>
        </w:tc>
        <w:tc>
          <w:tcPr>
            <w:tcW w:w="4770" w:type="dxa"/>
          </w:tcPr>
          <w:p w14:paraId="4CB63DA9" w14:textId="4FA46309" w:rsidR="00D51307" w:rsidRPr="00D51307" w:rsidRDefault="00D51307" w:rsidP="00D51307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242" w:lineRule="auto"/>
              <w:ind w:right="586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Do your learners have access to training</w:t>
            </w:r>
            <w:r w:rsidRPr="00D51307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for various credentials?</w:t>
            </w:r>
          </w:p>
          <w:p w14:paraId="06684933" w14:textId="2B13A2AC" w:rsidR="00D51307" w:rsidRPr="00D51307" w:rsidRDefault="00D51307" w:rsidP="00D51307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ind w:right="262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How can you help learners earn credentials or how can you connect learners to programs that offer other</w:t>
            </w:r>
            <w:r w:rsidRPr="00D5130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credentials?</w:t>
            </w:r>
          </w:p>
        </w:tc>
        <w:tc>
          <w:tcPr>
            <w:tcW w:w="3345" w:type="dxa"/>
            <w:gridSpan w:val="3"/>
          </w:tcPr>
          <w:p w14:paraId="13B674B6" w14:textId="74CA877E" w:rsidR="00D51307" w:rsidRPr="00D51307" w:rsidRDefault="00D51307" w:rsidP="00D35BF7">
            <w:pPr>
              <w:pStyle w:val="TableParagraph"/>
              <w:ind w:left="105" w:right="148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Read your Local Workforce Development Area (LWDA) Plan and talk with workforce partners to determine credentials that align to</w:t>
            </w:r>
            <w:r w:rsidR="00D35BF7">
              <w:rPr>
                <w:rFonts w:asciiTheme="minorHAnsi" w:hAnsiTheme="minorHAnsi" w:cstheme="minorHAnsi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High Priority Occupations (HPOs) and in-demand jobs in your local area.</w:t>
            </w:r>
          </w:p>
          <w:p w14:paraId="74529501" w14:textId="386B9EC3" w:rsidR="00D51307" w:rsidRPr="00D51307" w:rsidRDefault="00D51307" w:rsidP="00D51307">
            <w:pPr>
              <w:pStyle w:val="TableParagraph"/>
              <w:spacing w:before="6" w:line="228" w:lineRule="exact"/>
              <w:ind w:left="105" w:right="371" w:hanging="1"/>
              <w:rPr>
                <w:rFonts w:asciiTheme="minorHAnsi" w:hAnsiTheme="minorHAnsi" w:cstheme="minorHAnsi"/>
              </w:rPr>
            </w:pPr>
          </w:p>
        </w:tc>
        <w:tc>
          <w:tcPr>
            <w:tcW w:w="3405" w:type="dxa"/>
          </w:tcPr>
          <w:p w14:paraId="1F2B477E" w14:textId="77777777" w:rsidR="00D51307" w:rsidRPr="00D51307" w:rsidRDefault="00D51307" w:rsidP="00D5130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51307" w14:paraId="6DEC059F" w14:textId="77777777" w:rsidTr="00D35BF7">
        <w:trPr>
          <w:trHeight w:val="3203"/>
        </w:trPr>
        <w:tc>
          <w:tcPr>
            <w:tcW w:w="1710" w:type="dxa"/>
            <w:shd w:val="clear" w:color="auto" w:fill="FFFFFF" w:themeFill="background1"/>
          </w:tcPr>
          <w:p w14:paraId="34EDA075" w14:textId="6A074071" w:rsidR="00D51307" w:rsidRPr="00D51307" w:rsidRDefault="00705A91" w:rsidP="00705A91">
            <w:pPr>
              <w:pStyle w:val="TableParagraph"/>
              <w:ind w:left="107"/>
              <w:rPr>
                <w:rFonts w:ascii="Open Sans Extrabold" w:hAnsi="Open Sans Extrabold" w:cs="Open Sans Extrabold"/>
                <w:b/>
                <w:color w:val="004E89"/>
                <w:w w:val="95"/>
              </w:rPr>
            </w:pPr>
            <w:r w:rsidRPr="00D51307">
              <w:rPr>
                <w:rFonts w:ascii="Open Sans" w:hAnsi="Open Sans" w:cs="Open Sans"/>
                <w:b/>
              </w:rPr>
              <w:t>Student</w:t>
            </w:r>
            <w:r>
              <w:rPr>
                <w:rFonts w:ascii="Open Sans" w:hAnsi="Open Sans" w:cs="Open Sans"/>
                <w:b/>
              </w:rPr>
              <w:t>-</w:t>
            </w:r>
            <w:r w:rsidR="00D51307" w:rsidRPr="00D51307">
              <w:rPr>
                <w:rFonts w:ascii="Open Sans" w:hAnsi="Open Sans" w:cs="Open Sans"/>
                <w:b/>
              </w:rPr>
              <w:t>Identified Occupation</w:t>
            </w:r>
          </w:p>
        </w:tc>
        <w:tc>
          <w:tcPr>
            <w:tcW w:w="4770" w:type="dxa"/>
            <w:shd w:val="clear" w:color="auto" w:fill="FFFFFF" w:themeFill="background1"/>
          </w:tcPr>
          <w:p w14:paraId="56C70B70" w14:textId="77777777" w:rsidR="00D51307" w:rsidRPr="00D51307" w:rsidRDefault="00D51307" w:rsidP="00D51307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ind w:right="301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Are learners choosing HPOs in the sectors that are the focus of the LWDA Plan?</w:t>
            </w:r>
          </w:p>
          <w:p w14:paraId="2D0E9CE2" w14:textId="77777777" w:rsidR="00D51307" w:rsidRPr="00D51307" w:rsidRDefault="00D51307" w:rsidP="00D51307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right="123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What activities is your program offering related to career awareness, career exploration, and</w:t>
            </w:r>
            <w:r w:rsidRPr="00D51307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career goal</w:t>
            </w:r>
            <w:r w:rsidRPr="00D5130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setting?</w:t>
            </w:r>
          </w:p>
          <w:p w14:paraId="7C4814E9" w14:textId="77777777" w:rsidR="00D51307" w:rsidRDefault="00D51307" w:rsidP="00D51307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ind w:right="175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Are you providing contextualized and</w:t>
            </w:r>
            <w:r w:rsidRPr="00D51307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meaningful programming to your learners to help them transition to jobs in the sectors that are the focus of the local plan</w:t>
            </w:r>
            <w:r>
              <w:rPr>
                <w:rFonts w:asciiTheme="minorHAnsi" w:hAnsiTheme="minorHAnsi" w:cstheme="minorHAnsi"/>
              </w:rPr>
              <w:t>?</w:t>
            </w:r>
          </w:p>
          <w:p w14:paraId="1B316A12" w14:textId="717DA5A1" w:rsidR="00D51307" w:rsidRPr="00D51307" w:rsidRDefault="00D51307" w:rsidP="00D51307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ind w:right="175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Do you have the materials and resources</w:t>
            </w:r>
            <w:r w:rsidRPr="00D51307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you need to help learners transition to HPOs?</w:t>
            </w:r>
          </w:p>
        </w:tc>
        <w:tc>
          <w:tcPr>
            <w:tcW w:w="3345" w:type="dxa"/>
            <w:gridSpan w:val="3"/>
            <w:shd w:val="clear" w:color="auto" w:fill="FFFFFF" w:themeFill="background1"/>
          </w:tcPr>
          <w:p w14:paraId="4F716EAA" w14:textId="7D72AFE9" w:rsidR="00D51307" w:rsidRPr="00D51307" w:rsidRDefault="00D51307" w:rsidP="00D51307">
            <w:pPr>
              <w:pStyle w:val="TableParagraph"/>
              <w:ind w:left="105" w:right="281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 xml:space="preserve">Look at your LWDA Plan and </w:t>
            </w:r>
            <w:r w:rsidR="00705A91" w:rsidRPr="00D51307">
              <w:rPr>
                <w:rFonts w:asciiTheme="minorHAnsi" w:hAnsiTheme="minorHAnsi" w:cstheme="minorHAnsi"/>
              </w:rPr>
              <w:t>learner</w:t>
            </w:r>
            <w:r w:rsidR="00705A91">
              <w:rPr>
                <w:rFonts w:asciiTheme="minorHAnsi" w:hAnsiTheme="minorHAnsi" w:cstheme="minorHAnsi"/>
              </w:rPr>
              <w:t>-</w:t>
            </w:r>
            <w:r w:rsidRPr="00D51307">
              <w:rPr>
                <w:rFonts w:asciiTheme="minorHAnsi" w:hAnsiTheme="minorHAnsi" w:cstheme="minorHAnsi"/>
              </w:rPr>
              <w:t>identified occupations together to determine ways to better align programming to local career pathway initiatives.</w:t>
            </w:r>
          </w:p>
          <w:p w14:paraId="4DAF562F" w14:textId="77777777" w:rsidR="00D51307" w:rsidRPr="00D51307" w:rsidRDefault="00D51307" w:rsidP="00D51307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i/>
              </w:rPr>
            </w:pPr>
          </w:p>
          <w:p w14:paraId="51BEE58B" w14:textId="5A8A2E87" w:rsidR="00D51307" w:rsidRPr="00D51307" w:rsidRDefault="00D51307" w:rsidP="00D51307">
            <w:pPr>
              <w:pStyle w:val="TableParagraph"/>
              <w:ind w:left="105" w:right="148"/>
              <w:rPr>
                <w:rFonts w:ascii="Open Sans Extrabold" w:hAnsi="Open Sans Extrabold" w:cs="Open Sans Extrabold"/>
                <w:color w:val="004E89"/>
              </w:rPr>
            </w:pPr>
            <w:r w:rsidRPr="00D51307">
              <w:rPr>
                <w:rFonts w:asciiTheme="minorHAnsi" w:hAnsiTheme="minorHAnsi" w:cstheme="minorHAnsi"/>
              </w:rPr>
              <w:t>Contact KayLynn Hamilton or Chrissie Klinger about additional work-related materials, resources, and tools to support learners.</w:t>
            </w:r>
          </w:p>
        </w:tc>
        <w:tc>
          <w:tcPr>
            <w:tcW w:w="3405" w:type="dxa"/>
            <w:shd w:val="clear" w:color="auto" w:fill="FFFFFF" w:themeFill="background1"/>
          </w:tcPr>
          <w:p w14:paraId="2378D765" w14:textId="09E958FB" w:rsidR="00D51307" w:rsidRPr="00D51307" w:rsidRDefault="00D51307" w:rsidP="00D51307">
            <w:pPr>
              <w:pStyle w:val="TableParagraph"/>
              <w:ind w:left="0"/>
              <w:rPr>
                <w:rFonts w:ascii="Open Sans Extrabold" w:hAnsi="Open Sans Extrabold" w:cs="Open Sans Extrabold"/>
                <w:color w:val="004E89"/>
              </w:rPr>
            </w:pPr>
          </w:p>
        </w:tc>
      </w:tr>
      <w:tr w:rsidR="00D51307" w14:paraId="7CF0DEDF" w14:textId="77777777" w:rsidTr="00D35BF7">
        <w:trPr>
          <w:trHeight w:val="2582"/>
        </w:trPr>
        <w:tc>
          <w:tcPr>
            <w:tcW w:w="1710" w:type="dxa"/>
          </w:tcPr>
          <w:p w14:paraId="0E942093" w14:textId="0A7DF1E5" w:rsidR="00D51307" w:rsidRPr="00D51307" w:rsidRDefault="00D51307" w:rsidP="00D51307">
            <w:pPr>
              <w:pStyle w:val="TableParagraph"/>
              <w:ind w:left="107"/>
              <w:rPr>
                <w:rFonts w:ascii="Open Sans" w:hAnsi="Open Sans" w:cs="Open Sans"/>
                <w:b/>
              </w:rPr>
            </w:pPr>
            <w:r w:rsidRPr="00D51307">
              <w:rPr>
                <w:rFonts w:ascii="Open Sans" w:hAnsi="Open Sans" w:cs="Open Sans"/>
                <w:b/>
              </w:rPr>
              <w:t xml:space="preserve">Percentage of Students Selecting </w:t>
            </w:r>
            <w:r w:rsidR="00D35BF7">
              <w:rPr>
                <w:rFonts w:ascii="Open Sans" w:hAnsi="Open Sans" w:cs="Open Sans"/>
                <w:b/>
              </w:rPr>
              <w:br/>
            </w:r>
            <w:r w:rsidRPr="00D51307">
              <w:rPr>
                <w:rFonts w:ascii="Open Sans" w:hAnsi="Open Sans" w:cs="Open Sans"/>
                <w:b/>
              </w:rPr>
              <w:t>Each Sector</w:t>
            </w:r>
          </w:p>
        </w:tc>
        <w:tc>
          <w:tcPr>
            <w:tcW w:w="4770" w:type="dxa"/>
          </w:tcPr>
          <w:p w14:paraId="313F9B11" w14:textId="64C972EF" w:rsidR="00D51307" w:rsidRPr="00D51307" w:rsidRDefault="00D51307" w:rsidP="00D51307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before="9" w:line="230" w:lineRule="exact"/>
              <w:ind w:right="465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Do you need to strengthen partnerships to support programming aligned to local</w:t>
            </w:r>
            <w:r w:rsidRPr="00D51307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focus sectors?</w:t>
            </w:r>
          </w:p>
        </w:tc>
        <w:tc>
          <w:tcPr>
            <w:tcW w:w="3345" w:type="dxa"/>
            <w:gridSpan w:val="3"/>
          </w:tcPr>
          <w:p w14:paraId="6FAAB7CF" w14:textId="77777777" w:rsidR="00D35BF7" w:rsidRDefault="00D51307" w:rsidP="00D35BF7">
            <w:pPr>
              <w:pStyle w:val="TableParagraph"/>
              <w:ind w:left="105" w:right="199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Work with your PA CareerLink</w:t>
            </w:r>
            <w:r w:rsidRPr="00D51307">
              <w:rPr>
                <w:rFonts w:asciiTheme="minorHAnsi" w:hAnsiTheme="minorHAnsi" w:cstheme="minorHAnsi"/>
                <w:position w:val="7"/>
              </w:rPr>
              <w:t xml:space="preserve">® </w:t>
            </w:r>
            <w:r w:rsidRPr="00D51307">
              <w:rPr>
                <w:rFonts w:asciiTheme="minorHAnsi" w:hAnsiTheme="minorHAnsi" w:cstheme="minorHAnsi"/>
              </w:rPr>
              <w:t>partners and committees to increase employer engagement activities or explore Integrated Education</w:t>
            </w:r>
            <w:r w:rsidR="00D35BF7">
              <w:rPr>
                <w:rFonts w:asciiTheme="minorHAnsi" w:hAnsiTheme="minorHAnsi" w:cstheme="minorHAnsi"/>
              </w:rPr>
              <w:t xml:space="preserve"> and Training (IET) programming. </w:t>
            </w:r>
          </w:p>
          <w:p w14:paraId="5AF46756" w14:textId="77777777" w:rsidR="00D35BF7" w:rsidRDefault="00D35BF7" w:rsidP="00D35BF7">
            <w:pPr>
              <w:pStyle w:val="TableParagraph"/>
              <w:ind w:left="105" w:right="199"/>
              <w:rPr>
                <w:rFonts w:asciiTheme="minorHAnsi" w:hAnsiTheme="minorHAnsi" w:cstheme="minorHAnsi"/>
              </w:rPr>
            </w:pPr>
          </w:p>
          <w:p w14:paraId="2DCD044C" w14:textId="77777777" w:rsidR="00D35BF7" w:rsidRDefault="00D35BF7" w:rsidP="00D35BF7">
            <w:pPr>
              <w:pStyle w:val="TableParagraph"/>
              <w:ind w:left="105" w:right="199"/>
              <w:rPr>
                <w:rFonts w:asciiTheme="minorHAnsi" w:hAnsiTheme="minorHAnsi" w:cstheme="minorHAnsi"/>
              </w:rPr>
            </w:pPr>
          </w:p>
          <w:p w14:paraId="109C8886" w14:textId="77777777" w:rsidR="00D35BF7" w:rsidRDefault="00D35BF7" w:rsidP="00D35BF7">
            <w:pPr>
              <w:pStyle w:val="TableParagraph"/>
              <w:ind w:left="105" w:right="199"/>
              <w:rPr>
                <w:rFonts w:asciiTheme="minorHAnsi" w:hAnsiTheme="minorHAnsi" w:cstheme="minorHAnsi"/>
              </w:rPr>
            </w:pPr>
          </w:p>
          <w:p w14:paraId="442FA52C" w14:textId="77777777" w:rsidR="00D35BF7" w:rsidRDefault="00D35BF7" w:rsidP="00D35BF7">
            <w:pPr>
              <w:pStyle w:val="TableParagraph"/>
              <w:ind w:left="105" w:right="199"/>
              <w:rPr>
                <w:rFonts w:asciiTheme="minorHAnsi" w:hAnsiTheme="minorHAnsi" w:cstheme="minorHAnsi"/>
              </w:rPr>
            </w:pPr>
          </w:p>
          <w:p w14:paraId="4AD2D5B6" w14:textId="77777777" w:rsidR="00D35BF7" w:rsidRDefault="00D35BF7" w:rsidP="00D35BF7">
            <w:pPr>
              <w:pStyle w:val="TableParagraph"/>
              <w:ind w:left="105" w:right="199"/>
              <w:rPr>
                <w:rFonts w:asciiTheme="minorHAnsi" w:hAnsiTheme="minorHAnsi" w:cstheme="minorHAnsi"/>
              </w:rPr>
            </w:pPr>
          </w:p>
          <w:p w14:paraId="75132F67" w14:textId="77777777" w:rsidR="00D35BF7" w:rsidRDefault="00D35BF7" w:rsidP="00D35BF7">
            <w:pPr>
              <w:pStyle w:val="TableParagraph"/>
              <w:ind w:left="105" w:right="199"/>
              <w:rPr>
                <w:rFonts w:asciiTheme="minorHAnsi" w:hAnsiTheme="minorHAnsi" w:cstheme="minorHAnsi"/>
              </w:rPr>
            </w:pPr>
          </w:p>
          <w:p w14:paraId="2E975D99" w14:textId="205196CE" w:rsidR="00D35BF7" w:rsidRPr="00D51307" w:rsidRDefault="00D35BF7" w:rsidP="00D35BF7">
            <w:pPr>
              <w:pStyle w:val="TableParagraph"/>
              <w:ind w:left="105" w:right="199"/>
              <w:rPr>
                <w:rFonts w:asciiTheme="minorHAnsi" w:hAnsiTheme="minorHAnsi" w:cstheme="minorHAnsi"/>
              </w:rPr>
            </w:pPr>
          </w:p>
        </w:tc>
        <w:tc>
          <w:tcPr>
            <w:tcW w:w="3405" w:type="dxa"/>
          </w:tcPr>
          <w:p w14:paraId="7FEE8853" w14:textId="77777777" w:rsidR="00D51307" w:rsidRPr="00D51307" w:rsidRDefault="00D51307" w:rsidP="00D5130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35BF7" w14:paraId="5F8DD0E0" w14:textId="77777777" w:rsidTr="00D35BF7">
        <w:trPr>
          <w:trHeight w:val="440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3763754" w14:textId="4BE0C0E2" w:rsidR="00D35BF7" w:rsidRPr="00D51307" w:rsidRDefault="00D35BF7" w:rsidP="00D35BF7">
            <w:pPr>
              <w:pStyle w:val="TableParagraph"/>
              <w:ind w:left="107" w:right="156"/>
              <w:rPr>
                <w:rFonts w:ascii="Open Sans" w:hAnsi="Open Sans" w:cs="Open Sans"/>
                <w:b/>
                <w:w w:val="95"/>
              </w:rPr>
            </w:pPr>
            <w:r w:rsidRPr="00D51307">
              <w:rPr>
                <w:rFonts w:ascii="Open Sans Extrabold" w:hAnsi="Open Sans Extrabold" w:cs="Open Sans Extrabold"/>
                <w:b/>
                <w:color w:val="004E89"/>
              </w:rPr>
              <w:lastRenderedPageBreak/>
              <w:t>Section</w:t>
            </w:r>
          </w:p>
        </w:tc>
        <w:tc>
          <w:tcPr>
            <w:tcW w:w="4786" w:type="dxa"/>
            <w:gridSpan w:val="2"/>
            <w:shd w:val="clear" w:color="auto" w:fill="D9D9D9" w:themeFill="background1" w:themeFillShade="D9"/>
            <w:vAlign w:val="center"/>
          </w:tcPr>
          <w:p w14:paraId="2935612B" w14:textId="08547493" w:rsidR="00D35BF7" w:rsidRPr="00D51307" w:rsidRDefault="00D35BF7" w:rsidP="00D35BF7">
            <w:pPr>
              <w:pStyle w:val="TableParagraph"/>
              <w:tabs>
                <w:tab w:val="left" w:pos="468"/>
                <w:tab w:val="left" w:pos="469"/>
              </w:tabs>
              <w:ind w:left="108" w:right="791"/>
              <w:rPr>
                <w:rFonts w:asciiTheme="minorHAnsi" w:hAnsiTheme="minorHAnsi" w:cstheme="minorHAnsi"/>
              </w:rPr>
            </w:pPr>
            <w:r w:rsidRPr="00824AB3">
              <w:rPr>
                <w:rFonts w:ascii="Open Sans Extrabold" w:hAnsi="Open Sans Extrabold" w:cs="Open Sans Extrabold"/>
                <w:b/>
                <w:color w:val="004E89"/>
              </w:rPr>
              <w:t xml:space="preserve">  Questions to Consider</w:t>
            </w:r>
          </w:p>
        </w:tc>
        <w:tc>
          <w:tcPr>
            <w:tcW w:w="3329" w:type="dxa"/>
            <w:gridSpan w:val="2"/>
            <w:shd w:val="clear" w:color="auto" w:fill="D9D9D9" w:themeFill="background1" w:themeFillShade="D9"/>
            <w:vAlign w:val="center"/>
          </w:tcPr>
          <w:p w14:paraId="7FDD6551" w14:textId="2B08D00B" w:rsidR="00D35BF7" w:rsidRPr="00D51307" w:rsidRDefault="00D35BF7" w:rsidP="00D35BF7">
            <w:pPr>
              <w:pStyle w:val="TableParagraph"/>
              <w:ind w:left="105" w:right="381"/>
              <w:rPr>
                <w:rFonts w:asciiTheme="minorHAnsi" w:hAnsiTheme="minorHAnsi" w:cstheme="minorHAnsi"/>
              </w:rPr>
            </w:pPr>
            <w:r w:rsidRPr="00824AB3">
              <w:rPr>
                <w:rFonts w:ascii="Open Sans Extrabold" w:hAnsi="Open Sans Extrabold" w:cs="Open Sans Extrabold"/>
                <w:b/>
                <w:color w:val="004E89"/>
              </w:rPr>
              <w:t>Action to Take</w:t>
            </w:r>
          </w:p>
        </w:tc>
        <w:tc>
          <w:tcPr>
            <w:tcW w:w="3405" w:type="dxa"/>
            <w:shd w:val="clear" w:color="auto" w:fill="D9D9D9" w:themeFill="background1" w:themeFillShade="D9"/>
            <w:vAlign w:val="center"/>
          </w:tcPr>
          <w:p w14:paraId="6B84C531" w14:textId="0C220905" w:rsidR="00D35BF7" w:rsidRPr="00D51307" w:rsidRDefault="00D35BF7" w:rsidP="00D35B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24AB3">
              <w:rPr>
                <w:rFonts w:ascii="Open Sans Extrabold" w:hAnsi="Open Sans Extrabold" w:cs="Open Sans Extrabold"/>
                <w:b/>
                <w:color w:val="004E89"/>
              </w:rPr>
              <w:t xml:space="preserve">  Planned Action Steps</w:t>
            </w:r>
          </w:p>
        </w:tc>
      </w:tr>
      <w:tr w:rsidR="00D35BF7" w14:paraId="79A887AF" w14:textId="77777777" w:rsidTr="00D35BF7">
        <w:trPr>
          <w:trHeight w:val="2150"/>
        </w:trPr>
        <w:tc>
          <w:tcPr>
            <w:tcW w:w="1710" w:type="dxa"/>
          </w:tcPr>
          <w:p w14:paraId="18DB9289" w14:textId="77777777" w:rsidR="00D35BF7" w:rsidRPr="00D51307" w:rsidRDefault="00D35BF7" w:rsidP="00D35BF7">
            <w:pPr>
              <w:pStyle w:val="TableParagraph"/>
              <w:ind w:left="107" w:right="156"/>
              <w:rPr>
                <w:rFonts w:ascii="Open Sans" w:hAnsi="Open Sans" w:cs="Open Sans"/>
                <w:b/>
              </w:rPr>
            </w:pPr>
            <w:r w:rsidRPr="00D51307">
              <w:rPr>
                <w:rFonts w:ascii="Open Sans" w:hAnsi="Open Sans" w:cs="Open Sans"/>
                <w:b/>
                <w:w w:val="95"/>
              </w:rPr>
              <w:t xml:space="preserve">Referrals: </w:t>
            </w:r>
            <w:r w:rsidRPr="00D51307">
              <w:rPr>
                <w:rFonts w:ascii="Open Sans" w:hAnsi="Open Sans" w:cs="Open Sans"/>
                <w:b/>
              </w:rPr>
              <w:t>PA</w:t>
            </w:r>
          </w:p>
          <w:p w14:paraId="0771E522" w14:textId="3A915AE6" w:rsidR="00D35BF7" w:rsidRPr="00D51307" w:rsidRDefault="00D35BF7" w:rsidP="00D35BF7">
            <w:pPr>
              <w:pStyle w:val="TableParagraph"/>
              <w:ind w:left="107" w:right="124"/>
              <w:rPr>
                <w:rFonts w:ascii="Open Sans" w:hAnsi="Open Sans" w:cs="Open Sans"/>
                <w:b/>
              </w:rPr>
            </w:pPr>
            <w:r w:rsidRPr="00D51307">
              <w:rPr>
                <w:rFonts w:ascii="Open Sans" w:hAnsi="Open Sans" w:cs="Open Sans"/>
                <w:b/>
              </w:rPr>
              <w:t>CareerLink</w:t>
            </w:r>
            <w:r w:rsidRPr="00D51307">
              <w:rPr>
                <w:rFonts w:ascii="Open Sans" w:hAnsi="Open Sans" w:cs="Open Sans"/>
                <w:b/>
                <w:position w:val="7"/>
              </w:rPr>
              <w:t>®</w:t>
            </w:r>
          </w:p>
        </w:tc>
        <w:tc>
          <w:tcPr>
            <w:tcW w:w="4786" w:type="dxa"/>
            <w:gridSpan w:val="2"/>
          </w:tcPr>
          <w:p w14:paraId="7481F8BD" w14:textId="77777777" w:rsidR="00D35BF7" w:rsidRPr="00D51307" w:rsidRDefault="00D35BF7" w:rsidP="00D35BF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right="791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Are referrals from one program to</w:t>
            </w:r>
            <w:r w:rsidRPr="00D51307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another happening on a regular</w:t>
            </w:r>
            <w:r w:rsidRPr="00D5130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basis?</w:t>
            </w:r>
          </w:p>
          <w:p w14:paraId="376FFB54" w14:textId="6ECBBD26" w:rsidR="00D35BF7" w:rsidRPr="00D51307" w:rsidRDefault="00D35BF7" w:rsidP="00D35BF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right="667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What could be done to improve referrals to</w:t>
            </w:r>
            <w:r w:rsidRPr="00D51307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D51307">
              <w:rPr>
                <w:rFonts w:asciiTheme="minorHAnsi" w:hAnsiTheme="minorHAnsi" w:cstheme="minorHAnsi"/>
                <w:b/>
                <w:i/>
              </w:rPr>
              <w:t>OR</w:t>
            </w:r>
            <w:r w:rsidRPr="00D51307">
              <w:rPr>
                <w:rFonts w:asciiTheme="minorHAnsi" w:hAnsiTheme="minorHAnsi" w:cstheme="minorHAnsi"/>
              </w:rPr>
              <w:t xml:space="preserve"> from PA CareerLink</w:t>
            </w:r>
            <w:r w:rsidRPr="00D51307">
              <w:rPr>
                <w:rFonts w:asciiTheme="minorHAnsi" w:hAnsiTheme="minorHAnsi" w:cstheme="minorHAnsi"/>
                <w:position w:val="7"/>
              </w:rPr>
              <w:t>®</w:t>
            </w:r>
            <w:r w:rsidRPr="00D51307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329" w:type="dxa"/>
            <w:gridSpan w:val="2"/>
          </w:tcPr>
          <w:p w14:paraId="5E09A546" w14:textId="26968003" w:rsidR="00D35BF7" w:rsidRPr="00D51307" w:rsidRDefault="00D35BF7" w:rsidP="00D35BF7">
            <w:pPr>
              <w:pStyle w:val="TableParagraph"/>
              <w:ind w:left="105" w:right="3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Share this section with PA </w:t>
            </w:r>
            <w:r w:rsidRPr="00D51307">
              <w:rPr>
                <w:rFonts w:asciiTheme="minorHAnsi" w:hAnsiTheme="minorHAnsi" w:cstheme="minorHAnsi"/>
              </w:rPr>
              <w:t>CareerLink</w:t>
            </w:r>
            <w:r w:rsidRPr="00D51307">
              <w:rPr>
                <w:rFonts w:asciiTheme="minorHAnsi" w:hAnsiTheme="minorHAnsi" w:cstheme="minorHAnsi"/>
                <w:position w:val="6"/>
              </w:rPr>
              <w:t xml:space="preserve">® </w:t>
            </w:r>
            <w:r w:rsidRPr="00D51307">
              <w:rPr>
                <w:rFonts w:asciiTheme="minorHAnsi" w:hAnsiTheme="minorHAnsi" w:cstheme="minorHAnsi"/>
              </w:rPr>
              <w:t>partners to discuss ways to improve co-enrollment among all Workforce Innovation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and Opportunity Act programs available in your area.</w:t>
            </w:r>
          </w:p>
        </w:tc>
        <w:tc>
          <w:tcPr>
            <w:tcW w:w="3405" w:type="dxa"/>
          </w:tcPr>
          <w:p w14:paraId="33164D84" w14:textId="77777777" w:rsidR="00D35BF7" w:rsidRPr="00D51307" w:rsidRDefault="00D35BF7" w:rsidP="00D35B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35BF7" w14:paraId="5D12CE68" w14:textId="77777777" w:rsidTr="00D35BF7">
        <w:trPr>
          <w:trHeight w:val="1151"/>
        </w:trPr>
        <w:tc>
          <w:tcPr>
            <w:tcW w:w="1710" w:type="dxa"/>
          </w:tcPr>
          <w:p w14:paraId="71CF7B37" w14:textId="220B21AC" w:rsidR="00D35BF7" w:rsidRPr="00D51307" w:rsidRDefault="00D35BF7" w:rsidP="00D35BF7">
            <w:pPr>
              <w:pStyle w:val="TableParagraph"/>
              <w:spacing w:line="229" w:lineRule="exact"/>
              <w:ind w:left="107"/>
              <w:rPr>
                <w:rFonts w:ascii="Open Sans" w:hAnsi="Open Sans" w:cs="Open Sans"/>
                <w:b/>
              </w:rPr>
            </w:pPr>
            <w:r w:rsidRPr="00D51307">
              <w:rPr>
                <w:rFonts w:ascii="Open Sans" w:hAnsi="Open Sans" w:cs="Open Sans"/>
                <w:b/>
              </w:rPr>
              <w:t xml:space="preserve">Student </w:t>
            </w:r>
            <w:r w:rsidRPr="00D51307">
              <w:rPr>
                <w:rFonts w:ascii="Open Sans" w:hAnsi="Open Sans" w:cs="Open Sans"/>
                <w:b/>
                <w:w w:val="95"/>
              </w:rPr>
              <w:t xml:space="preserve">Activities: </w:t>
            </w:r>
            <w:r w:rsidRPr="00D51307">
              <w:rPr>
                <w:rFonts w:ascii="Open Sans" w:hAnsi="Open Sans" w:cs="Open Sans"/>
                <w:b/>
              </w:rPr>
              <w:t>IET</w:t>
            </w:r>
          </w:p>
        </w:tc>
        <w:tc>
          <w:tcPr>
            <w:tcW w:w="4786" w:type="dxa"/>
            <w:gridSpan w:val="2"/>
          </w:tcPr>
          <w:p w14:paraId="448E0FBD" w14:textId="77777777" w:rsidR="00D35BF7" w:rsidRPr="00D51307" w:rsidRDefault="00D35BF7" w:rsidP="00D35BF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39" w:lineRule="exact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Is IET an appropriate strategy for your</w:t>
            </w:r>
            <w:r w:rsidRPr="00D5130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region?</w:t>
            </w:r>
          </w:p>
          <w:p w14:paraId="64323E5F" w14:textId="18FEA233" w:rsidR="00D35BF7" w:rsidRPr="00D51307" w:rsidRDefault="00D35BF7" w:rsidP="00D35BF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1" w:line="232" w:lineRule="auto"/>
              <w:ind w:right="355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Which sectors might the IET model work for</w:t>
            </w:r>
            <w:r w:rsidRPr="00D51307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in your area?</w:t>
            </w:r>
          </w:p>
        </w:tc>
        <w:tc>
          <w:tcPr>
            <w:tcW w:w="3329" w:type="dxa"/>
            <w:gridSpan w:val="2"/>
          </w:tcPr>
          <w:p w14:paraId="040859D6" w14:textId="73E82C6F" w:rsidR="00D35BF7" w:rsidRPr="00D51307" w:rsidRDefault="00D35BF7" w:rsidP="00D35BF7">
            <w:pPr>
              <w:pStyle w:val="TableParagraph"/>
              <w:spacing w:before="2" w:line="230" w:lineRule="exact"/>
              <w:ind w:left="105" w:right="148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Discuss with staff what other areas of the career pathway report you think were affected by the implementation of IET.</w:t>
            </w:r>
          </w:p>
        </w:tc>
        <w:tc>
          <w:tcPr>
            <w:tcW w:w="3405" w:type="dxa"/>
          </w:tcPr>
          <w:p w14:paraId="4F6B290E" w14:textId="77777777" w:rsidR="00D35BF7" w:rsidRPr="00D51307" w:rsidRDefault="00D35BF7" w:rsidP="00D35B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35BF7" w14:paraId="0CF05AC7" w14:textId="77777777" w:rsidTr="00D35BF7">
        <w:trPr>
          <w:trHeight w:val="938"/>
        </w:trPr>
        <w:tc>
          <w:tcPr>
            <w:tcW w:w="1710" w:type="dxa"/>
          </w:tcPr>
          <w:p w14:paraId="35856132" w14:textId="3B7E13D6" w:rsidR="00D35BF7" w:rsidRPr="00D51307" w:rsidRDefault="00D35BF7" w:rsidP="00D35BF7">
            <w:pPr>
              <w:pStyle w:val="TableParagraph"/>
              <w:ind w:left="107" w:right="156"/>
              <w:rPr>
                <w:rFonts w:ascii="Open Sans" w:hAnsi="Open Sans" w:cs="Open Sans"/>
                <w:b/>
              </w:rPr>
            </w:pPr>
            <w:r w:rsidRPr="00D51307">
              <w:rPr>
                <w:rFonts w:ascii="Open Sans" w:hAnsi="Open Sans" w:cs="Open Sans"/>
                <w:b/>
              </w:rPr>
              <w:t xml:space="preserve">WIOA </w:t>
            </w:r>
            <w:r w:rsidR="0095218C">
              <w:rPr>
                <w:rFonts w:ascii="Open Sans" w:hAnsi="Open Sans" w:cs="Open Sans"/>
                <w:b/>
              </w:rPr>
              <w:br/>
            </w:r>
            <w:r w:rsidRPr="00D51307">
              <w:rPr>
                <w:rFonts w:ascii="Open Sans" w:hAnsi="Open Sans" w:cs="Open Sans"/>
                <w:b/>
              </w:rPr>
              <w:t>Co-Enrolled</w:t>
            </w:r>
          </w:p>
        </w:tc>
        <w:tc>
          <w:tcPr>
            <w:tcW w:w="4786" w:type="dxa"/>
            <w:gridSpan w:val="2"/>
          </w:tcPr>
          <w:p w14:paraId="1C465B67" w14:textId="77777777" w:rsidR="00D35BF7" w:rsidRPr="00D51307" w:rsidRDefault="00D35BF7" w:rsidP="00D35BF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ind w:right="143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How did co-enrolled learners learn about</w:t>
            </w:r>
            <w:r w:rsidRPr="00D51307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your program?</w:t>
            </w:r>
          </w:p>
          <w:p w14:paraId="522D3BB5" w14:textId="7B6A6AA3" w:rsidR="00D35BF7" w:rsidRPr="00D51307" w:rsidRDefault="00D35BF7" w:rsidP="00D35BF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1" w:line="232" w:lineRule="auto"/>
              <w:ind w:right="676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Are you encouraging learners to attend</w:t>
            </w:r>
            <w:r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PA CareerLink</w:t>
            </w:r>
            <w:r w:rsidRPr="00D51307">
              <w:rPr>
                <w:rFonts w:asciiTheme="minorHAnsi" w:hAnsiTheme="minorHAnsi" w:cstheme="minorHAnsi"/>
                <w:position w:val="7"/>
              </w:rPr>
              <w:t xml:space="preserve">® </w:t>
            </w:r>
            <w:r w:rsidRPr="00D51307">
              <w:rPr>
                <w:rFonts w:asciiTheme="minorHAnsi" w:hAnsiTheme="minorHAnsi" w:cstheme="minorHAnsi"/>
              </w:rPr>
              <w:t>orientation and/or</w:t>
            </w:r>
            <w:r w:rsidRPr="00D51307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workshops?</w:t>
            </w:r>
          </w:p>
          <w:p w14:paraId="51B7D17A" w14:textId="2C587EEC" w:rsidR="00D35BF7" w:rsidRPr="00D51307" w:rsidRDefault="00D35BF7" w:rsidP="00D35BF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ind w:right="410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How are you sharing co-enrolled</w:t>
            </w:r>
            <w:r w:rsidRPr="00D51307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learner information with WIOA partner</w:t>
            </w:r>
            <w:r w:rsidRPr="00D5130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staff?</w:t>
            </w:r>
          </w:p>
        </w:tc>
        <w:tc>
          <w:tcPr>
            <w:tcW w:w="3329" w:type="dxa"/>
            <w:gridSpan w:val="2"/>
          </w:tcPr>
          <w:p w14:paraId="71BB62FE" w14:textId="50455381" w:rsidR="00D35BF7" w:rsidRPr="00D51307" w:rsidRDefault="00D35BF7" w:rsidP="00D35BF7">
            <w:pPr>
              <w:pStyle w:val="TableParagraph"/>
              <w:ind w:left="105" w:right="157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Refer to your LWDA Plan and talk with workforce partners to determine how your Title II program can support appropriate co-enrollments that lead to successful completion of career pathways programming in your area.</w:t>
            </w:r>
          </w:p>
          <w:p w14:paraId="13EC1A54" w14:textId="5A09FA5A" w:rsidR="00D35BF7" w:rsidRPr="00D51307" w:rsidRDefault="00D35BF7" w:rsidP="00D35BF7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  <w:tc>
          <w:tcPr>
            <w:tcW w:w="3405" w:type="dxa"/>
          </w:tcPr>
          <w:p w14:paraId="63BAB64C" w14:textId="77777777" w:rsidR="00D35BF7" w:rsidRPr="00D51307" w:rsidRDefault="00D35BF7" w:rsidP="00D35B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35BF7" w14:paraId="5E26A798" w14:textId="77777777" w:rsidTr="00D35BF7">
        <w:trPr>
          <w:trHeight w:val="260"/>
        </w:trPr>
        <w:tc>
          <w:tcPr>
            <w:tcW w:w="1710" w:type="dxa"/>
          </w:tcPr>
          <w:p w14:paraId="55019C0C" w14:textId="502BA205" w:rsidR="00D35BF7" w:rsidRPr="00D51307" w:rsidRDefault="00D35BF7" w:rsidP="00D35BF7">
            <w:pPr>
              <w:pStyle w:val="TableParagraph"/>
              <w:ind w:left="107"/>
              <w:rPr>
                <w:rFonts w:ascii="Open Sans Extrabold" w:hAnsi="Open Sans Extrabold" w:cs="Open Sans Extrabold"/>
                <w:b/>
                <w:color w:val="004E89"/>
              </w:rPr>
            </w:pPr>
            <w:r w:rsidRPr="00D51307">
              <w:rPr>
                <w:rFonts w:ascii="Open Sans" w:hAnsi="Open Sans" w:cs="Open Sans"/>
                <w:b/>
              </w:rPr>
              <w:t xml:space="preserve">Student </w:t>
            </w:r>
            <w:r w:rsidRPr="00D51307">
              <w:rPr>
                <w:rFonts w:ascii="Open Sans" w:hAnsi="Open Sans" w:cs="Open Sans"/>
                <w:b/>
                <w:w w:val="95"/>
              </w:rPr>
              <w:t xml:space="preserve">Supports: </w:t>
            </w:r>
            <w:r w:rsidRPr="00D51307">
              <w:rPr>
                <w:rFonts w:ascii="Open Sans" w:hAnsi="Open Sans" w:cs="Open Sans"/>
                <w:b/>
              </w:rPr>
              <w:t>Funding</w:t>
            </w:r>
          </w:p>
        </w:tc>
        <w:tc>
          <w:tcPr>
            <w:tcW w:w="4786" w:type="dxa"/>
            <w:gridSpan w:val="2"/>
          </w:tcPr>
          <w:p w14:paraId="39CC690E" w14:textId="6156089E" w:rsidR="00D35BF7" w:rsidRPr="00A74DCC" w:rsidRDefault="00D35BF7" w:rsidP="00A74DCC">
            <w:pPr>
              <w:pStyle w:val="ListParagraph"/>
              <w:numPr>
                <w:ilvl w:val="0"/>
                <w:numId w:val="16"/>
              </w:numPr>
              <w:ind w:left="454"/>
              <w:rPr>
                <w:rFonts w:asciiTheme="minorHAnsi" w:hAnsiTheme="minorHAnsi" w:cstheme="minorHAnsi"/>
              </w:rPr>
            </w:pPr>
            <w:r w:rsidRPr="00A74DCC">
              <w:rPr>
                <w:rFonts w:asciiTheme="minorHAnsi" w:hAnsiTheme="minorHAnsi" w:cstheme="minorHAnsi"/>
              </w:rPr>
              <w:t>Does your program staff know how to refer learners to partner programs that can provide funding?</w:t>
            </w:r>
          </w:p>
        </w:tc>
        <w:tc>
          <w:tcPr>
            <w:tcW w:w="3329" w:type="dxa"/>
            <w:gridSpan w:val="2"/>
          </w:tcPr>
          <w:p w14:paraId="74A27FB8" w14:textId="1A7E884F" w:rsidR="00D35BF7" w:rsidRPr="00D51307" w:rsidRDefault="00D35BF7" w:rsidP="00D35BF7">
            <w:pPr>
              <w:pStyle w:val="TableParagraph"/>
              <w:ind w:left="105" w:right="170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Invite partner program staff to present funding opportunities to classes.</w:t>
            </w:r>
            <w:r>
              <w:rPr>
                <w:rFonts w:asciiTheme="minorHAnsi" w:hAnsiTheme="minorHAnsi" w:cstheme="minorHAnsi"/>
              </w:rPr>
              <w:br/>
            </w:r>
          </w:p>
          <w:p w14:paraId="7D65F115" w14:textId="77777777" w:rsidR="00D35BF7" w:rsidRDefault="00D35BF7" w:rsidP="00D35BF7">
            <w:pPr>
              <w:pStyle w:val="TableParagraph"/>
              <w:ind w:left="105" w:right="157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Follow up on referrals. Consider tracking referrals made to other agencies and referrals that are received from other agencies.</w:t>
            </w:r>
          </w:p>
          <w:p w14:paraId="713031A9" w14:textId="77777777" w:rsidR="00D35BF7" w:rsidRDefault="00D35BF7" w:rsidP="00D35BF7">
            <w:pPr>
              <w:pStyle w:val="TableParagraph"/>
              <w:ind w:left="105" w:right="157"/>
              <w:rPr>
                <w:rFonts w:asciiTheme="minorHAnsi" w:hAnsiTheme="minorHAnsi" w:cstheme="minorHAnsi"/>
              </w:rPr>
            </w:pPr>
          </w:p>
          <w:p w14:paraId="0CB84334" w14:textId="77777777" w:rsidR="00D35BF7" w:rsidRDefault="00D35BF7" w:rsidP="00D35BF7">
            <w:pPr>
              <w:pStyle w:val="TableParagraph"/>
              <w:ind w:left="105" w:right="157"/>
              <w:rPr>
                <w:rFonts w:asciiTheme="minorHAnsi" w:hAnsiTheme="minorHAnsi" w:cstheme="minorHAnsi"/>
              </w:rPr>
            </w:pPr>
          </w:p>
          <w:p w14:paraId="71E70723" w14:textId="172F4D61" w:rsidR="00D35BF7" w:rsidRPr="00D51307" w:rsidRDefault="00D35BF7" w:rsidP="00D35BF7">
            <w:pPr>
              <w:pStyle w:val="TableParagraph"/>
              <w:ind w:left="105" w:right="157"/>
              <w:rPr>
                <w:rFonts w:ascii="Open Sans Extrabold" w:hAnsi="Open Sans Extrabold" w:cs="Open Sans Extrabold"/>
                <w:color w:val="004E89"/>
              </w:rPr>
            </w:pPr>
          </w:p>
        </w:tc>
        <w:tc>
          <w:tcPr>
            <w:tcW w:w="3405" w:type="dxa"/>
          </w:tcPr>
          <w:p w14:paraId="4709CDBD" w14:textId="48561A5E" w:rsidR="00D35BF7" w:rsidRPr="00D51307" w:rsidRDefault="00D35BF7" w:rsidP="00D35BF7">
            <w:pPr>
              <w:pStyle w:val="TableParagraph"/>
              <w:ind w:left="0"/>
              <w:rPr>
                <w:rFonts w:ascii="Open Sans Extrabold" w:hAnsi="Open Sans Extrabold" w:cs="Open Sans Extrabold"/>
                <w:color w:val="004E89"/>
              </w:rPr>
            </w:pPr>
          </w:p>
        </w:tc>
      </w:tr>
      <w:tr w:rsidR="00D35BF7" w14:paraId="6B4DF34F" w14:textId="77777777" w:rsidTr="00D35BF7">
        <w:trPr>
          <w:trHeight w:val="440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691BAF3" w14:textId="124452F3" w:rsidR="00D35BF7" w:rsidRPr="00D51307" w:rsidRDefault="00D35BF7" w:rsidP="00D35BF7">
            <w:pPr>
              <w:pStyle w:val="TableParagraph"/>
              <w:ind w:left="107"/>
              <w:rPr>
                <w:rFonts w:ascii="Open Sans" w:hAnsi="Open Sans" w:cs="Open Sans"/>
                <w:b/>
              </w:rPr>
            </w:pPr>
            <w:r w:rsidRPr="00D51307">
              <w:rPr>
                <w:rFonts w:ascii="Open Sans Extrabold" w:hAnsi="Open Sans Extrabold" w:cs="Open Sans Extrabold"/>
                <w:b/>
                <w:color w:val="004E89"/>
              </w:rPr>
              <w:t>Section</w:t>
            </w:r>
          </w:p>
        </w:tc>
        <w:tc>
          <w:tcPr>
            <w:tcW w:w="4786" w:type="dxa"/>
            <w:gridSpan w:val="2"/>
            <w:shd w:val="clear" w:color="auto" w:fill="D9D9D9" w:themeFill="background1" w:themeFillShade="D9"/>
            <w:vAlign w:val="center"/>
          </w:tcPr>
          <w:p w14:paraId="0FBDD97E" w14:textId="622EDDC9" w:rsidR="00D35BF7" w:rsidRPr="00D51307" w:rsidRDefault="00D35BF7" w:rsidP="00D35BF7">
            <w:pPr>
              <w:pStyle w:val="TableParagraph"/>
              <w:tabs>
                <w:tab w:val="left" w:pos="468"/>
                <w:tab w:val="left" w:pos="469"/>
              </w:tabs>
              <w:ind w:left="108" w:right="288"/>
              <w:rPr>
                <w:rFonts w:asciiTheme="minorHAnsi" w:hAnsiTheme="minorHAnsi" w:cstheme="minorHAnsi"/>
              </w:rPr>
            </w:pPr>
            <w:r w:rsidRPr="00824AB3">
              <w:rPr>
                <w:rFonts w:ascii="Open Sans Extrabold" w:hAnsi="Open Sans Extrabold" w:cs="Open Sans Extrabold"/>
                <w:b/>
                <w:color w:val="004E89"/>
              </w:rPr>
              <w:t xml:space="preserve">  Questions to Consider</w:t>
            </w:r>
          </w:p>
        </w:tc>
        <w:tc>
          <w:tcPr>
            <w:tcW w:w="3329" w:type="dxa"/>
            <w:gridSpan w:val="2"/>
            <w:shd w:val="clear" w:color="auto" w:fill="D9D9D9" w:themeFill="background1" w:themeFillShade="D9"/>
            <w:vAlign w:val="center"/>
          </w:tcPr>
          <w:p w14:paraId="014D68C1" w14:textId="3AFF59FC" w:rsidR="00D35BF7" w:rsidRPr="00D51307" w:rsidRDefault="00D35BF7" w:rsidP="00D35BF7">
            <w:pPr>
              <w:pStyle w:val="TableParagraph"/>
              <w:ind w:left="105" w:right="124"/>
              <w:rPr>
                <w:rFonts w:asciiTheme="minorHAnsi" w:hAnsiTheme="minorHAnsi" w:cstheme="minorHAnsi"/>
              </w:rPr>
            </w:pPr>
            <w:r w:rsidRPr="00824AB3">
              <w:rPr>
                <w:rFonts w:ascii="Open Sans Extrabold" w:hAnsi="Open Sans Extrabold" w:cs="Open Sans Extrabold"/>
                <w:b/>
                <w:color w:val="004E89"/>
              </w:rPr>
              <w:t>Action to Take</w:t>
            </w:r>
          </w:p>
        </w:tc>
        <w:tc>
          <w:tcPr>
            <w:tcW w:w="3405" w:type="dxa"/>
            <w:shd w:val="clear" w:color="auto" w:fill="D9D9D9" w:themeFill="background1" w:themeFillShade="D9"/>
            <w:vAlign w:val="center"/>
          </w:tcPr>
          <w:p w14:paraId="11B86D83" w14:textId="712BFCF3" w:rsidR="00D35BF7" w:rsidRPr="00D51307" w:rsidRDefault="00D35BF7" w:rsidP="00D35B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24AB3">
              <w:rPr>
                <w:rFonts w:ascii="Open Sans Extrabold" w:hAnsi="Open Sans Extrabold" w:cs="Open Sans Extrabold"/>
                <w:b/>
                <w:color w:val="004E89"/>
              </w:rPr>
              <w:t xml:space="preserve">  Planned Action Steps</w:t>
            </w:r>
          </w:p>
        </w:tc>
      </w:tr>
      <w:tr w:rsidR="00D35BF7" w14:paraId="7BB978A4" w14:textId="77777777" w:rsidTr="00D35BF7">
        <w:trPr>
          <w:trHeight w:val="1840"/>
        </w:trPr>
        <w:tc>
          <w:tcPr>
            <w:tcW w:w="1710" w:type="dxa"/>
          </w:tcPr>
          <w:p w14:paraId="3B143B92" w14:textId="38054447" w:rsidR="00D35BF7" w:rsidRPr="00D51307" w:rsidRDefault="00D35BF7" w:rsidP="00D35BF7">
            <w:pPr>
              <w:pStyle w:val="TableParagraph"/>
              <w:ind w:left="107"/>
              <w:rPr>
                <w:rFonts w:ascii="Open Sans" w:hAnsi="Open Sans" w:cs="Open Sans"/>
                <w:b/>
              </w:rPr>
            </w:pPr>
            <w:r w:rsidRPr="00D51307">
              <w:rPr>
                <w:rFonts w:ascii="Open Sans" w:hAnsi="Open Sans" w:cs="Open Sans"/>
                <w:b/>
              </w:rPr>
              <w:t xml:space="preserve">Student Activities: Local Employer </w:t>
            </w:r>
            <w:r w:rsidRPr="00D51307">
              <w:rPr>
                <w:rFonts w:ascii="Open Sans" w:hAnsi="Open Sans" w:cs="Open Sans"/>
                <w:b/>
                <w:w w:val="95"/>
              </w:rPr>
              <w:t>Engagement</w:t>
            </w:r>
          </w:p>
        </w:tc>
        <w:tc>
          <w:tcPr>
            <w:tcW w:w="4786" w:type="dxa"/>
            <w:gridSpan w:val="2"/>
          </w:tcPr>
          <w:p w14:paraId="0B46FD61" w14:textId="77777777" w:rsidR="00D35BF7" w:rsidRPr="00D51307" w:rsidRDefault="00D35BF7" w:rsidP="00D35BF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288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What employer engagement activities align</w:t>
            </w:r>
            <w:r w:rsidRPr="00D51307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with and support your LWDA</w:t>
            </w:r>
            <w:r w:rsidRPr="00D5130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Plan?</w:t>
            </w:r>
          </w:p>
          <w:p w14:paraId="3D732E2E" w14:textId="77777777" w:rsidR="00D35BF7" w:rsidRPr="00D51307" w:rsidRDefault="00D35BF7" w:rsidP="00D35BF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42" w:lineRule="auto"/>
              <w:ind w:right="177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How can you work with your partners to</w:t>
            </w:r>
            <w:r w:rsidRPr="00D51307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increase effective employer engagement</w:t>
            </w:r>
            <w:r w:rsidRPr="00D5130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activities?</w:t>
            </w:r>
          </w:p>
          <w:p w14:paraId="06BF808B" w14:textId="5A304B7B" w:rsidR="00D35BF7" w:rsidRPr="00D51307" w:rsidRDefault="00D35BF7" w:rsidP="00D35BF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278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Did your employer engagement activities result from your relationship with PA CareerLink</w:t>
            </w:r>
            <w:r w:rsidRPr="00D51307">
              <w:rPr>
                <w:rFonts w:asciiTheme="minorHAnsi" w:hAnsiTheme="minorHAnsi" w:cstheme="minorHAnsi"/>
                <w:position w:val="6"/>
              </w:rPr>
              <w:t>®</w:t>
            </w:r>
            <w:r w:rsidRPr="00D51307">
              <w:rPr>
                <w:rFonts w:asciiTheme="minorHAnsi" w:hAnsiTheme="minorHAnsi" w:cstheme="minorHAnsi"/>
              </w:rPr>
              <w:t>? If not, what can you do to strengthen your involvement in employer</w:t>
            </w:r>
            <w:r w:rsidR="00DE19F1">
              <w:rPr>
                <w:rFonts w:asciiTheme="minorHAnsi" w:hAnsiTheme="minorHAnsi" w:cstheme="minorHAnsi"/>
              </w:rPr>
              <w:t>-</w:t>
            </w:r>
            <w:r w:rsidRPr="00D51307">
              <w:rPr>
                <w:rFonts w:asciiTheme="minorHAnsi" w:hAnsiTheme="minorHAnsi" w:cstheme="minorHAnsi"/>
              </w:rPr>
              <w:t xml:space="preserve"> related activities</w:t>
            </w:r>
            <w:r w:rsidRPr="00D51307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within the workforce development</w:t>
            </w:r>
            <w:r w:rsidRPr="00D5130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system?</w:t>
            </w:r>
          </w:p>
          <w:p w14:paraId="123E138D" w14:textId="7BB30233" w:rsidR="00D35BF7" w:rsidRPr="00D51307" w:rsidRDefault="00D35BF7" w:rsidP="00D35BF7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688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Are you part of your local Business Service(s)</w:t>
            </w:r>
            <w:r w:rsidRPr="00D51307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Team (BST) at the PA</w:t>
            </w:r>
            <w:r w:rsidRPr="00D5130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CareerLink</w:t>
            </w:r>
            <w:r w:rsidRPr="00D51307">
              <w:rPr>
                <w:rFonts w:asciiTheme="minorHAnsi" w:hAnsiTheme="minorHAnsi" w:cstheme="minorHAnsi"/>
                <w:position w:val="6"/>
              </w:rPr>
              <w:t>®</w:t>
            </w:r>
            <w:r w:rsidRPr="00D51307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329" w:type="dxa"/>
            <w:gridSpan w:val="2"/>
          </w:tcPr>
          <w:p w14:paraId="46E1CADF" w14:textId="77777777" w:rsidR="00D35BF7" w:rsidRPr="00D51307" w:rsidRDefault="00D35BF7" w:rsidP="00D35BF7">
            <w:pPr>
              <w:pStyle w:val="TableParagraph"/>
              <w:ind w:left="105" w:right="124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Share this section of the report with your local PA CareerLink</w:t>
            </w:r>
            <w:r w:rsidRPr="00D51307">
              <w:rPr>
                <w:rFonts w:asciiTheme="minorHAnsi" w:hAnsiTheme="minorHAnsi" w:cstheme="minorHAnsi"/>
                <w:position w:val="7"/>
              </w:rPr>
              <w:t xml:space="preserve">® </w:t>
            </w:r>
            <w:r w:rsidRPr="00D51307">
              <w:rPr>
                <w:rFonts w:asciiTheme="minorHAnsi" w:hAnsiTheme="minorHAnsi" w:cstheme="minorHAnsi"/>
              </w:rPr>
              <w:t>BST and discuss ways to increase</w:t>
            </w:r>
            <w:r w:rsidRPr="00D5130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employer engagement.</w:t>
            </w:r>
          </w:p>
          <w:p w14:paraId="5F30ABB8" w14:textId="77777777" w:rsidR="00D35BF7" w:rsidRPr="00D51307" w:rsidRDefault="00D35BF7" w:rsidP="00D35BF7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</w:rPr>
            </w:pPr>
          </w:p>
          <w:p w14:paraId="6938A275" w14:textId="77777777" w:rsidR="00D35BF7" w:rsidRPr="00D51307" w:rsidRDefault="00D35BF7" w:rsidP="00D35BF7">
            <w:pPr>
              <w:pStyle w:val="TableParagraph"/>
              <w:ind w:left="105" w:right="159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 xml:space="preserve">Contact Chrissie Klinger about the </w:t>
            </w:r>
            <w:r w:rsidRPr="00D51307">
              <w:rPr>
                <w:rFonts w:asciiTheme="minorHAnsi" w:hAnsiTheme="minorHAnsi" w:cstheme="minorHAnsi"/>
                <w:i/>
              </w:rPr>
              <w:t xml:space="preserve">Strategies for Effective Employer Engagement </w:t>
            </w:r>
            <w:r w:rsidRPr="00D51307">
              <w:rPr>
                <w:rFonts w:asciiTheme="minorHAnsi" w:hAnsiTheme="minorHAnsi" w:cstheme="minorHAnsi"/>
              </w:rPr>
              <w:t>course to determine ways employer engagement can benefit learners and employers.</w:t>
            </w:r>
          </w:p>
          <w:p w14:paraId="3CBD62EE" w14:textId="77777777" w:rsidR="00D35BF7" w:rsidRPr="00D51307" w:rsidRDefault="00D35BF7" w:rsidP="00D35B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8892B0A" w14:textId="77777777" w:rsidR="00D35BF7" w:rsidRPr="00D51307" w:rsidRDefault="00D35BF7" w:rsidP="00D35BF7">
            <w:pPr>
              <w:pStyle w:val="TableParagraph"/>
              <w:ind w:left="105" w:right="170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Meet with your local Title II Coalition, look at this section regionally, and discuss ways your programs can work with PA CareerLink</w:t>
            </w:r>
            <w:r w:rsidRPr="00D51307">
              <w:rPr>
                <w:rFonts w:asciiTheme="minorHAnsi" w:hAnsiTheme="minorHAnsi" w:cstheme="minorHAnsi"/>
                <w:position w:val="6"/>
              </w:rPr>
              <w:t xml:space="preserve">® </w:t>
            </w:r>
            <w:r w:rsidRPr="00D51307">
              <w:rPr>
                <w:rFonts w:asciiTheme="minorHAnsi" w:hAnsiTheme="minorHAnsi" w:cstheme="minorHAnsi"/>
              </w:rPr>
              <w:t>and the local workforce development board to increase effective employer engagement.</w:t>
            </w:r>
          </w:p>
          <w:p w14:paraId="5144EBA9" w14:textId="77777777" w:rsidR="00D35BF7" w:rsidRPr="00D51307" w:rsidRDefault="00D35BF7" w:rsidP="00D35BF7">
            <w:pPr>
              <w:pStyle w:val="TableParagraph"/>
              <w:ind w:left="105" w:right="170"/>
              <w:rPr>
                <w:rFonts w:asciiTheme="minorHAnsi" w:hAnsiTheme="minorHAnsi" w:cstheme="minorHAnsi"/>
              </w:rPr>
            </w:pPr>
          </w:p>
          <w:p w14:paraId="5C1181BE" w14:textId="77777777" w:rsidR="00D35BF7" w:rsidRPr="00D51307" w:rsidRDefault="00D35BF7" w:rsidP="00D35BF7">
            <w:pPr>
              <w:pStyle w:val="TableParagraph"/>
              <w:ind w:left="105" w:right="170"/>
              <w:rPr>
                <w:rFonts w:asciiTheme="minorHAnsi" w:hAnsiTheme="minorHAnsi" w:cstheme="minorHAnsi"/>
              </w:rPr>
            </w:pPr>
          </w:p>
          <w:p w14:paraId="26AB3D94" w14:textId="77777777" w:rsidR="00D35BF7" w:rsidRPr="00D51307" w:rsidRDefault="00D35BF7" w:rsidP="00D35BF7">
            <w:pPr>
              <w:pStyle w:val="TableParagraph"/>
              <w:ind w:left="105" w:right="170"/>
              <w:rPr>
                <w:rFonts w:asciiTheme="minorHAnsi" w:hAnsiTheme="minorHAnsi" w:cstheme="minorHAnsi"/>
              </w:rPr>
            </w:pPr>
          </w:p>
          <w:p w14:paraId="12660B4B" w14:textId="77777777" w:rsidR="00D35BF7" w:rsidRPr="00D51307" w:rsidRDefault="00D35BF7" w:rsidP="00D35BF7">
            <w:pPr>
              <w:pStyle w:val="TableParagraph"/>
              <w:ind w:left="105" w:right="170"/>
              <w:rPr>
                <w:rFonts w:asciiTheme="minorHAnsi" w:hAnsiTheme="minorHAnsi" w:cstheme="minorHAnsi"/>
              </w:rPr>
            </w:pPr>
          </w:p>
          <w:p w14:paraId="6FCBFC62" w14:textId="587A5435" w:rsidR="00D35BF7" w:rsidRDefault="00D35BF7" w:rsidP="00D35BF7">
            <w:pPr>
              <w:pStyle w:val="TableParagraph"/>
              <w:ind w:left="105" w:right="170"/>
              <w:rPr>
                <w:rFonts w:asciiTheme="minorHAnsi" w:hAnsiTheme="minorHAnsi" w:cstheme="minorHAnsi"/>
              </w:rPr>
            </w:pPr>
          </w:p>
          <w:p w14:paraId="67FD62F2" w14:textId="77777777" w:rsidR="00A74DCC" w:rsidRPr="00D51307" w:rsidRDefault="00A74DCC" w:rsidP="00D35BF7">
            <w:pPr>
              <w:pStyle w:val="TableParagraph"/>
              <w:ind w:left="105" w:right="170"/>
              <w:rPr>
                <w:rFonts w:asciiTheme="minorHAnsi" w:hAnsiTheme="minorHAnsi" w:cstheme="minorHAnsi"/>
              </w:rPr>
            </w:pPr>
          </w:p>
          <w:p w14:paraId="7F9E2805" w14:textId="77777777" w:rsidR="00D35BF7" w:rsidRPr="00D51307" w:rsidRDefault="00D35BF7" w:rsidP="00D35BF7">
            <w:pPr>
              <w:pStyle w:val="TableParagraph"/>
              <w:ind w:left="105" w:right="170"/>
              <w:rPr>
                <w:rFonts w:asciiTheme="minorHAnsi" w:hAnsiTheme="minorHAnsi" w:cstheme="minorHAnsi"/>
              </w:rPr>
            </w:pPr>
          </w:p>
          <w:p w14:paraId="717241B9" w14:textId="77777777" w:rsidR="00D35BF7" w:rsidRPr="00D51307" w:rsidRDefault="00D35BF7" w:rsidP="00D35BF7">
            <w:pPr>
              <w:pStyle w:val="TableParagraph"/>
              <w:ind w:left="0" w:right="170"/>
              <w:rPr>
                <w:rFonts w:asciiTheme="minorHAnsi" w:hAnsiTheme="minorHAnsi" w:cstheme="minorHAnsi"/>
              </w:rPr>
            </w:pPr>
          </w:p>
          <w:p w14:paraId="4750446D" w14:textId="77777777" w:rsidR="00D35BF7" w:rsidRPr="00D51307" w:rsidRDefault="00D35BF7" w:rsidP="00D35BF7">
            <w:pPr>
              <w:pStyle w:val="TableParagraph"/>
              <w:ind w:left="0" w:right="170"/>
              <w:rPr>
                <w:rFonts w:asciiTheme="minorHAnsi" w:hAnsiTheme="minorHAnsi" w:cstheme="minorHAnsi"/>
              </w:rPr>
            </w:pPr>
          </w:p>
          <w:p w14:paraId="6D5DEAED" w14:textId="002E515A" w:rsidR="00D35BF7" w:rsidRDefault="00D35BF7" w:rsidP="00D35BF7">
            <w:pPr>
              <w:pStyle w:val="TableParagraph"/>
              <w:ind w:left="105" w:right="170"/>
              <w:rPr>
                <w:rFonts w:asciiTheme="minorHAnsi" w:hAnsiTheme="minorHAnsi" w:cstheme="minorHAnsi"/>
              </w:rPr>
            </w:pPr>
          </w:p>
          <w:p w14:paraId="0BF3AA23" w14:textId="77777777" w:rsidR="00A74DCC" w:rsidRPr="00D51307" w:rsidRDefault="00A74DCC" w:rsidP="00D35BF7">
            <w:pPr>
              <w:pStyle w:val="TableParagraph"/>
              <w:ind w:left="105" w:right="170"/>
              <w:rPr>
                <w:rFonts w:asciiTheme="minorHAnsi" w:hAnsiTheme="minorHAnsi" w:cstheme="minorHAnsi"/>
              </w:rPr>
            </w:pPr>
          </w:p>
          <w:p w14:paraId="470A846D" w14:textId="77777777" w:rsidR="00D35BF7" w:rsidRPr="00D51307" w:rsidRDefault="00D35BF7" w:rsidP="00D35BF7">
            <w:pPr>
              <w:pStyle w:val="TableParagraph"/>
              <w:ind w:left="105" w:right="170"/>
              <w:rPr>
                <w:rFonts w:asciiTheme="minorHAnsi" w:hAnsiTheme="minorHAnsi" w:cstheme="minorHAnsi"/>
              </w:rPr>
            </w:pPr>
          </w:p>
          <w:p w14:paraId="7280D4F2" w14:textId="1D685717" w:rsidR="00D35BF7" w:rsidRPr="00D51307" w:rsidRDefault="00D35BF7" w:rsidP="00D35BF7">
            <w:pPr>
              <w:pStyle w:val="TableParagraph"/>
              <w:ind w:left="105" w:right="170"/>
              <w:rPr>
                <w:rFonts w:asciiTheme="minorHAnsi" w:hAnsiTheme="minorHAnsi" w:cstheme="minorHAnsi"/>
              </w:rPr>
            </w:pPr>
          </w:p>
        </w:tc>
        <w:tc>
          <w:tcPr>
            <w:tcW w:w="3405" w:type="dxa"/>
          </w:tcPr>
          <w:p w14:paraId="5376481E" w14:textId="77777777" w:rsidR="00D35BF7" w:rsidRPr="00D51307" w:rsidRDefault="00D35BF7" w:rsidP="00D35B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35BF7" w14:paraId="27806D86" w14:textId="77777777" w:rsidTr="00A74DCC">
        <w:trPr>
          <w:trHeight w:val="440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601C16F" w14:textId="51D740CE" w:rsidR="00D35BF7" w:rsidRPr="00D51307" w:rsidRDefault="00D35BF7" w:rsidP="00A74DCC">
            <w:pPr>
              <w:pStyle w:val="TableParagraph"/>
              <w:ind w:left="107"/>
              <w:rPr>
                <w:rFonts w:ascii="Open Sans" w:hAnsi="Open Sans" w:cs="Open Sans"/>
                <w:b/>
                <w:sz w:val="20"/>
              </w:rPr>
            </w:pPr>
            <w:r w:rsidRPr="00D51307">
              <w:rPr>
                <w:rFonts w:ascii="Open Sans Extrabold" w:hAnsi="Open Sans Extrabold" w:cs="Open Sans Extrabold"/>
                <w:b/>
                <w:color w:val="004E89"/>
              </w:rPr>
              <w:t>Section</w:t>
            </w:r>
          </w:p>
        </w:tc>
        <w:tc>
          <w:tcPr>
            <w:tcW w:w="4786" w:type="dxa"/>
            <w:gridSpan w:val="2"/>
            <w:shd w:val="clear" w:color="auto" w:fill="D9D9D9" w:themeFill="background1" w:themeFillShade="D9"/>
            <w:vAlign w:val="center"/>
          </w:tcPr>
          <w:p w14:paraId="163593E0" w14:textId="67C06488" w:rsidR="00D35BF7" w:rsidRPr="00A614BD" w:rsidRDefault="00D35BF7" w:rsidP="00A74DCC">
            <w:pPr>
              <w:pStyle w:val="TableParagraph"/>
              <w:tabs>
                <w:tab w:val="left" w:pos="467"/>
                <w:tab w:val="left" w:pos="469"/>
              </w:tabs>
              <w:spacing w:line="242" w:lineRule="auto"/>
              <w:ind w:left="108" w:right="233"/>
              <w:rPr>
                <w:rFonts w:asciiTheme="minorHAnsi" w:hAnsiTheme="minorHAnsi" w:cstheme="minorHAnsi"/>
                <w:sz w:val="20"/>
              </w:rPr>
            </w:pPr>
            <w:r w:rsidRPr="00824AB3">
              <w:rPr>
                <w:rFonts w:ascii="Open Sans Extrabold" w:hAnsi="Open Sans Extrabold" w:cs="Open Sans Extrabold"/>
                <w:b/>
                <w:color w:val="004E89"/>
              </w:rPr>
              <w:t>Questions to Consider</w:t>
            </w:r>
          </w:p>
        </w:tc>
        <w:tc>
          <w:tcPr>
            <w:tcW w:w="3314" w:type="dxa"/>
            <w:shd w:val="clear" w:color="auto" w:fill="D9D9D9" w:themeFill="background1" w:themeFillShade="D9"/>
            <w:vAlign w:val="center"/>
          </w:tcPr>
          <w:p w14:paraId="425D5A06" w14:textId="3623FCF5" w:rsidR="00D35BF7" w:rsidRPr="00A614BD" w:rsidRDefault="00A74DCC" w:rsidP="00A74DCC">
            <w:pPr>
              <w:pStyle w:val="TableParagraph"/>
              <w:ind w:left="0" w:right="17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Open Sans Extrabold" w:hAnsi="Open Sans Extrabold" w:cs="Open Sans Extrabold"/>
                <w:b/>
                <w:color w:val="004E89"/>
              </w:rPr>
              <w:t xml:space="preserve">  </w:t>
            </w:r>
            <w:r w:rsidR="00D35BF7" w:rsidRPr="00824AB3">
              <w:rPr>
                <w:rFonts w:ascii="Open Sans Extrabold" w:hAnsi="Open Sans Extrabold" w:cs="Open Sans Extrabold"/>
                <w:b/>
                <w:color w:val="004E89"/>
              </w:rPr>
              <w:t>Action to Take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  <w:vAlign w:val="center"/>
          </w:tcPr>
          <w:p w14:paraId="12537A1D" w14:textId="5D58181F" w:rsidR="00D35BF7" w:rsidRPr="00A614BD" w:rsidRDefault="00D35BF7" w:rsidP="00A74DC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 w:rsidRPr="00824AB3">
              <w:rPr>
                <w:rFonts w:ascii="Open Sans Extrabold" w:hAnsi="Open Sans Extrabold" w:cs="Open Sans Extrabold"/>
                <w:b/>
                <w:color w:val="004E89"/>
              </w:rPr>
              <w:t xml:space="preserve">  Planned Action Steps</w:t>
            </w:r>
          </w:p>
        </w:tc>
      </w:tr>
      <w:tr w:rsidR="00D35BF7" w14:paraId="272C2243" w14:textId="77777777" w:rsidTr="00D35BF7">
        <w:trPr>
          <w:trHeight w:val="4130"/>
        </w:trPr>
        <w:tc>
          <w:tcPr>
            <w:tcW w:w="1710" w:type="dxa"/>
          </w:tcPr>
          <w:p w14:paraId="41152CB4" w14:textId="4698A190" w:rsidR="00D35BF7" w:rsidRPr="00D51307" w:rsidRDefault="00D35BF7" w:rsidP="00D35BF7">
            <w:pPr>
              <w:pStyle w:val="TableParagraph"/>
              <w:ind w:left="107"/>
              <w:rPr>
                <w:rFonts w:ascii="Open Sans Extrabold" w:hAnsi="Open Sans Extrabold" w:cs="Open Sans Extrabold"/>
                <w:b/>
                <w:color w:val="004E89"/>
              </w:rPr>
            </w:pPr>
            <w:r w:rsidRPr="00A74DCC">
              <w:rPr>
                <w:rFonts w:ascii="Open Sans" w:hAnsi="Open Sans" w:cs="Open Sans"/>
                <w:b/>
              </w:rPr>
              <w:t xml:space="preserve">Entire </w:t>
            </w:r>
            <w:r w:rsidRPr="00A74DCC">
              <w:rPr>
                <w:rFonts w:ascii="Open Sans" w:hAnsi="Open Sans" w:cs="Open Sans"/>
                <w:b/>
                <w:w w:val="95"/>
              </w:rPr>
              <w:t>Report</w:t>
            </w:r>
          </w:p>
        </w:tc>
        <w:tc>
          <w:tcPr>
            <w:tcW w:w="4786" w:type="dxa"/>
            <w:gridSpan w:val="2"/>
          </w:tcPr>
          <w:p w14:paraId="4FFAB910" w14:textId="77777777" w:rsidR="00D35BF7" w:rsidRPr="00D51307" w:rsidRDefault="00D35BF7" w:rsidP="00D35BF7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42" w:lineRule="auto"/>
              <w:ind w:right="264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How are you helping learners be aware of</w:t>
            </w:r>
            <w:r w:rsidRPr="00D51307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each career pathway</w:t>
            </w:r>
            <w:r w:rsidRPr="00D5130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component?</w:t>
            </w:r>
          </w:p>
          <w:p w14:paraId="609A7027" w14:textId="77777777" w:rsidR="00D35BF7" w:rsidRPr="00D51307" w:rsidRDefault="00D35BF7" w:rsidP="00D35BF7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99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Could you use data from the report when</w:t>
            </w:r>
            <w:r w:rsidRPr="00D51307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creating your annual Title II presentation to the local workforce development</w:t>
            </w:r>
            <w:r w:rsidRPr="00D5130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board?</w:t>
            </w:r>
          </w:p>
          <w:p w14:paraId="0EEE6C9B" w14:textId="77777777" w:rsidR="00A74DCC" w:rsidRDefault="00D35BF7" w:rsidP="00A74DC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ind w:right="187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What additional supports, tools, or resources</w:t>
            </w:r>
            <w:r w:rsidRPr="00D51307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are needed to support career pathways programming?</w:t>
            </w:r>
          </w:p>
          <w:p w14:paraId="6460D020" w14:textId="76CE5038" w:rsidR="00D35BF7" w:rsidRPr="00A74DCC" w:rsidRDefault="00D35BF7" w:rsidP="002D20B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ind w:right="187"/>
              <w:rPr>
                <w:rFonts w:asciiTheme="minorHAnsi" w:hAnsiTheme="minorHAnsi" w:cstheme="minorHAnsi"/>
              </w:rPr>
            </w:pPr>
            <w:r w:rsidRPr="00A74DCC">
              <w:rPr>
                <w:rFonts w:asciiTheme="minorHAnsi" w:hAnsiTheme="minorHAnsi" w:cstheme="minorHAnsi"/>
              </w:rPr>
              <w:t xml:space="preserve">What data are still missing? Is there information you or your partners need to track </w:t>
            </w:r>
            <w:r w:rsidR="002D20B9">
              <w:rPr>
                <w:rFonts w:asciiTheme="minorHAnsi" w:hAnsiTheme="minorHAnsi" w:cstheme="minorHAnsi"/>
              </w:rPr>
              <w:t>but</w:t>
            </w:r>
            <w:r w:rsidR="002D20B9" w:rsidRPr="00A74DCC">
              <w:rPr>
                <w:rFonts w:asciiTheme="minorHAnsi" w:hAnsiTheme="minorHAnsi" w:cstheme="minorHAnsi"/>
              </w:rPr>
              <w:t xml:space="preserve"> </w:t>
            </w:r>
            <w:r w:rsidRPr="00A74DCC">
              <w:rPr>
                <w:rFonts w:asciiTheme="minorHAnsi" w:hAnsiTheme="minorHAnsi" w:cstheme="minorHAnsi"/>
              </w:rPr>
              <w:t>don’t have</w:t>
            </w:r>
            <w:r w:rsidRPr="00A74DCC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A74DCC">
              <w:rPr>
                <w:rFonts w:asciiTheme="minorHAnsi" w:hAnsiTheme="minorHAnsi" w:cstheme="minorHAnsi"/>
              </w:rPr>
              <w:t>the tools to</w:t>
            </w:r>
            <w:r w:rsidRPr="00A74D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4DCC">
              <w:rPr>
                <w:rFonts w:asciiTheme="minorHAnsi" w:hAnsiTheme="minorHAnsi" w:cstheme="minorHAnsi"/>
              </w:rPr>
              <w:t>track?</w:t>
            </w:r>
          </w:p>
        </w:tc>
        <w:tc>
          <w:tcPr>
            <w:tcW w:w="3314" w:type="dxa"/>
          </w:tcPr>
          <w:p w14:paraId="260A41E6" w14:textId="77777777" w:rsidR="00D35BF7" w:rsidRPr="00D51307" w:rsidRDefault="00D35BF7" w:rsidP="00D35BF7">
            <w:pPr>
              <w:pStyle w:val="TableParagraph"/>
              <w:ind w:left="105" w:right="226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Use the report summary to reflect on the past program year and set new goals for the upcoming program year.</w:t>
            </w:r>
          </w:p>
          <w:p w14:paraId="728EE939" w14:textId="77777777" w:rsidR="00D35BF7" w:rsidRPr="00D51307" w:rsidRDefault="00D35BF7" w:rsidP="00D35BF7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</w:rPr>
            </w:pPr>
          </w:p>
          <w:p w14:paraId="6F961349" w14:textId="77777777" w:rsidR="00D35BF7" w:rsidRPr="00D51307" w:rsidRDefault="00D35BF7" w:rsidP="00D35BF7">
            <w:pPr>
              <w:pStyle w:val="TableParagraph"/>
              <w:ind w:left="105" w:right="138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Share the report with local PA CareerLink</w:t>
            </w:r>
            <w:r w:rsidRPr="00D51307">
              <w:rPr>
                <w:rFonts w:asciiTheme="minorHAnsi" w:hAnsiTheme="minorHAnsi" w:cstheme="minorHAnsi"/>
                <w:vertAlign w:val="superscript"/>
              </w:rPr>
              <w:t>®</w:t>
            </w:r>
            <w:r w:rsidRPr="00D51307">
              <w:rPr>
                <w:rFonts w:asciiTheme="minorHAnsi" w:hAnsiTheme="minorHAnsi" w:cstheme="minorHAnsi"/>
                <w:position w:val="6"/>
              </w:rPr>
              <w:t xml:space="preserve"> </w:t>
            </w:r>
            <w:r w:rsidRPr="00D51307">
              <w:rPr>
                <w:rFonts w:asciiTheme="minorHAnsi" w:hAnsiTheme="minorHAnsi" w:cstheme="minorHAnsi"/>
              </w:rPr>
              <w:t>partner administrators to determine areas you can work on together to improve learners’ progression in local career pathway programming.</w:t>
            </w:r>
          </w:p>
          <w:p w14:paraId="6B6EC0CB" w14:textId="77777777" w:rsidR="00D35BF7" w:rsidRPr="00D51307" w:rsidRDefault="00D35BF7" w:rsidP="00D35BF7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</w:rPr>
            </w:pPr>
          </w:p>
          <w:p w14:paraId="6D7B0A6D" w14:textId="77777777" w:rsidR="00D35BF7" w:rsidRDefault="00D35BF7" w:rsidP="00D35BF7">
            <w:pPr>
              <w:pStyle w:val="TableParagraph"/>
              <w:ind w:left="105" w:right="124"/>
              <w:rPr>
                <w:rFonts w:asciiTheme="minorHAnsi" w:hAnsiTheme="minorHAnsi" w:cstheme="minorHAnsi"/>
              </w:rPr>
            </w:pPr>
            <w:r w:rsidRPr="00D51307">
              <w:rPr>
                <w:rFonts w:asciiTheme="minorHAnsi" w:hAnsiTheme="minorHAnsi" w:cstheme="minorHAnsi"/>
              </w:rPr>
              <w:t>Contact KayLynn Hamilton or Chrissie Klinger about how to add data components to the reporting form.</w:t>
            </w:r>
          </w:p>
          <w:p w14:paraId="711D5A8D" w14:textId="7C1FDD55" w:rsidR="00A74DCC" w:rsidRPr="00D51307" w:rsidRDefault="00A74DCC" w:rsidP="00D35BF7">
            <w:pPr>
              <w:pStyle w:val="TableParagraph"/>
              <w:ind w:left="105" w:right="124"/>
              <w:rPr>
                <w:rFonts w:ascii="Open Sans Extrabold" w:hAnsi="Open Sans Extrabold" w:cs="Open Sans Extrabold"/>
                <w:color w:val="004E89"/>
              </w:rPr>
            </w:pPr>
          </w:p>
        </w:tc>
        <w:tc>
          <w:tcPr>
            <w:tcW w:w="3420" w:type="dxa"/>
            <w:gridSpan w:val="2"/>
          </w:tcPr>
          <w:p w14:paraId="0E27C7E4" w14:textId="44FECF88" w:rsidR="00D35BF7" w:rsidRPr="00D51307" w:rsidRDefault="00D35BF7" w:rsidP="00D35BF7">
            <w:pPr>
              <w:pStyle w:val="TableParagraph"/>
              <w:ind w:left="0"/>
              <w:rPr>
                <w:rFonts w:ascii="Open Sans Extrabold" w:hAnsi="Open Sans Extrabold" w:cs="Open Sans Extrabold"/>
                <w:color w:val="004E89"/>
              </w:rPr>
            </w:pPr>
          </w:p>
        </w:tc>
      </w:tr>
    </w:tbl>
    <w:p w14:paraId="12B0143D" w14:textId="18924B3A" w:rsidR="00E55598" w:rsidRDefault="00F540BF" w:rsidP="00D6404C">
      <w:pPr>
        <w:pStyle w:val="BodyText"/>
        <w:spacing w:before="53" w:line="256" w:lineRule="auto"/>
        <w:ind w:left="4940" w:right="221" w:firstLine="4488"/>
        <w:jc w:val="right"/>
      </w:pPr>
      <w:r>
        <w:rPr>
          <w:color w:val="A7A8A7"/>
        </w:rPr>
        <w:t>I</w:t>
      </w:r>
      <w:r w:rsidR="00AF058B">
        <w:rPr>
          <w:color w:val="A7A8A7"/>
        </w:rPr>
        <w:t>nstitute for the Study of Adult Literacy, Penn State, 2018</w:t>
      </w:r>
      <w:r w:rsidR="00AF058B">
        <w:rPr>
          <w:color w:val="A7A8A7"/>
          <w:w w:val="99"/>
        </w:rPr>
        <w:t xml:space="preserve"> </w:t>
      </w:r>
      <w:r w:rsidR="00AF058B">
        <w:rPr>
          <w:color w:val="A7A8A7"/>
        </w:rPr>
        <w:t>The development of this resource was supported in part by the U.S. Department of Education. However, this does not necessarily</w:t>
      </w:r>
      <w:r w:rsidR="00AF058B">
        <w:rPr>
          <w:color w:val="A7A8A7"/>
          <w:w w:val="99"/>
        </w:rPr>
        <w:t xml:space="preserve"> </w:t>
      </w:r>
      <w:r w:rsidR="00AF058B">
        <w:rPr>
          <w:color w:val="A7A8A7"/>
        </w:rPr>
        <w:t>reflect the position or policy of the U.S. Department of Education or the Pennsylvania Department of Education and no officia</w:t>
      </w:r>
      <w:r w:rsidR="00D6404C">
        <w:rPr>
          <w:color w:val="A7A8A7"/>
        </w:rPr>
        <w:t xml:space="preserve">l </w:t>
      </w:r>
      <w:r w:rsidR="00AF058B">
        <w:rPr>
          <w:color w:val="A7A8A7"/>
        </w:rPr>
        <w:t>endorsement by these agencies should be inferred.</w:t>
      </w:r>
    </w:p>
    <w:sectPr w:rsidR="00E55598" w:rsidSect="00A74DCC">
      <w:footerReference w:type="default" r:id="rId10"/>
      <w:pgSz w:w="15840" w:h="12240" w:orient="landscape"/>
      <w:pgMar w:top="1440" w:right="1325" w:bottom="1181" w:left="1339" w:header="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F0D74" w14:textId="77777777" w:rsidR="00994FC0" w:rsidRDefault="00994FC0">
      <w:r>
        <w:separator/>
      </w:r>
    </w:p>
  </w:endnote>
  <w:endnote w:type="continuationSeparator" w:id="0">
    <w:p w14:paraId="6509B795" w14:textId="77777777" w:rsidR="00994FC0" w:rsidRDefault="0099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Extrabold">
    <w:altName w:val="Segoe UI Semibold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C5C7E" w14:textId="0D4492D8" w:rsidR="00E55598" w:rsidRPr="00A74DCC" w:rsidRDefault="00A07E2C" w:rsidP="00A74DCC">
    <w:pPr>
      <w:pStyle w:val="Footer"/>
      <w:rPr>
        <w:rFonts w:asciiTheme="minorHAnsi" w:hAnsiTheme="minorHAnsi" w:cstheme="minorHAnsi"/>
      </w:rPr>
    </w:pPr>
    <w:r w:rsidRPr="00A74DCC">
      <w:rPr>
        <w:rFonts w:asciiTheme="minorHAnsi" w:hAnsiTheme="minorHAnsi" w:cstheme="minorHAnsi"/>
      </w:rPr>
      <w:t xml:space="preserve">CPSR Summary Companion </w:t>
    </w:r>
    <w:r w:rsidR="00A74DCC" w:rsidRPr="00A74DCC">
      <w:rPr>
        <w:rFonts w:asciiTheme="minorHAnsi" w:hAnsiTheme="minorHAnsi" w:cstheme="minorHAnsi"/>
      </w:rPr>
      <w:br/>
      <w:t>April 12, 2019</w:t>
    </w:r>
    <w:r w:rsidRPr="00A74DCC">
      <w:rPr>
        <w:rFonts w:asciiTheme="minorHAnsi" w:hAnsiTheme="minorHAnsi" w:cstheme="minorHAnsi"/>
      </w:rPr>
      <w:tab/>
    </w:r>
    <w:r w:rsidRPr="00A74DCC">
      <w:rPr>
        <w:rFonts w:asciiTheme="minorHAnsi" w:hAnsiTheme="minorHAnsi" w:cstheme="minorHAnsi"/>
      </w:rPr>
      <w:tab/>
    </w:r>
    <w:r w:rsidRPr="00A74DCC">
      <w:rPr>
        <w:rFonts w:asciiTheme="minorHAnsi" w:hAnsiTheme="minorHAnsi" w:cstheme="minorHAnsi"/>
      </w:rPr>
      <w:tab/>
    </w:r>
    <w:r w:rsidRPr="00A74DCC">
      <w:rPr>
        <w:rFonts w:asciiTheme="minorHAnsi" w:hAnsiTheme="minorHAnsi" w:cstheme="minorHAnsi"/>
      </w:rPr>
      <w:tab/>
    </w:r>
    <w:r w:rsidRPr="00A74DCC">
      <w:rPr>
        <w:rFonts w:asciiTheme="minorHAnsi" w:hAnsiTheme="minorHAnsi" w:cstheme="minorHAnsi"/>
      </w:rPr>
      <w:tab/>
    </w:r>
    <w:r w:rsidRPr="00A74DCC">
      <w:rPr>
        <w:rFonts w:asciiTheme="minorHAnsi" w:hAnsiTheme="minorHAnsi" w:cstheme="minorHAnsi"/>
      </w:rPr>
      <w:tab/>
    </w:r>
    <w:r w:rsidRPr="00A74DCC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-5761253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74DCC">
          <w:rPr>
            <w:rFonts w:asciiTheme="minorHAnsi" w:hAnsiTheme="minorHAnsi" w:cstheme="minorHAnsi"/>
          </w:rPr>
          <w:fldChar w:fldCharType="begin"/>
        </w:r>
        <w:r w:rsidRPr="00A74DCC">
          <w:rPr>
            <w:rFonts w:asciiTheme="minorHAnsi" w:hAnsiTheme="minorHAnsi" w:cstheme="minorHAnsi"/>
          </w:rPr>
          <w:instrText xml:space="preserve"> PAGE   \* MERGEFORMAT </w:instrText>
        </w:r>
        <w:r w:rsidRPr="00A74DCC">
          <w:rPr>
            <w:rFonts w:asciiTheme="minorHAnsi" w:hAnsiTheme="minorHAnsi" w:cstheme="minorHAnsi"/>
          </w:rPr>
          <w:fldChar w:fldCharType="separate"/>
        </w:r>
        <w:r w:rsidR="008346CD">
          <w:rPr>
            <w:rFonts w:asciiTheme="minorHAnsi" w:hAnsiTheme="minorHAnsi" w:cstheme="minorHAnsi"/>
            <w:noProof/>
          </w:rPr>
          <w:t>2</w:t>
        </w:r>
        <w:r w:rsidRPr="00A74DCC">
          <w:rPr>
            <w:rFonts w:asciiTheme="minorHAnsi" w:hAnsiTheme="minorHAnsi" w:cstheme="minorHAnsi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A6FBE" w14:textId="77777777" w:rsidR="00994FC0" w:rsidRDefault="00994FC0">
      <w:r>
        <w:separator/>
      </w:r>
    </w:p>
  </w:footnote>
  <w:footnote w:type="continuationSeparator" w:id="0">
    <w:p w14:paraId="39ECED5F" w14:textId="77777777" w:rsidR="00994FC0" w:rsidRDefault="0099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4054"/>
    <w:multiLevelType w:val="hybridMultilevel"/>
    <w:tmpl w:val="2D50B218"/>
    <w:lvl w:ilvl="0" w:tplc="CA103D6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2B24900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en-US"/>
      </w:rPr>
    </w:lvl>
    <w:lvl w:ilvl="2" w:tplc="F95A9EFE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FEE6534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4" w:tplc="5612876A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5844B6F8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6" w:tplc="D8083624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en-US"/>
      </w:rPr>
    </w:lvl>
    <w:lvl w:ilvl="7" w:tplc="842C05A2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8" w:tplc="623AC08E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84260EB"/>
    <w:multiLevelType w:val="hybridMultilevel"/>
    <w:tmpl w:val="E27E987A"/>
    <w:lvl w:ilvl="0" w:tplc="1FAEBC2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364B900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en-US"/>
      </w:rPr>
    </w:lvl>
    <w:lvl w:ilvl="2" w:tplc="D43207EA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E3E8FCA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4" w:tplc="4EFED792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B71E9044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6" w:tplc="22B6FA5A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en-US"/>
      </w:rPr>
    </w:lvl>
    <w:lvl w:ilvl="7" w:tplc="1C843B0C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8" w:tplc="AD087A3C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8855F3E"/>
    <w:multiLevelType w:val="hybridMultilevel"/>
    <w:tmpl w:val="567C4D52"/>
    <w:lvl w:ilvl="0" w:tplc="CBBA283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29C2D22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en-US"/>
      </w:rPr>
    </w:lvl>
    <w:lvl w:ilvl="2" w:tplc="E1A2C2EE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AAAC364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4" w:tplc="3C9CBEEE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6096D5CA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6" w:tplc="619C285C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en-US"/>
      </w:rPr>
    </w:lvl>
    <w:lvl w:ilvl="7" w:tplc="ADE26BAC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8" w:tplc="28C0A782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C337AC7"/>
    <w:multiLevelType w:val="hybridMultilevel"/>
    <w:tmpl w:val="F138BC28"/>
    <w:lvl w:ilvl="0" w:tplc="F7A040C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9020568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en-US"/>
      </w:rPr>
    </w:lvl>
    <w:lvl w:ilvl="2" w:tplc="DD9EB87E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4586854C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4" w:tplc="3E8030B4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EB221B2C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6" w:tplc="EE3E6C58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en-US"/>
      </w:rPr>
    </w:lvl>
    <w:lvl w:ilvl="7" w:tplc="E162F0B2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8" w:tplc="7D92DE14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14D5243"/>
    <w:multiLevelType w:val="hybridMultilevel"/>
    <w:tmpl w:val="12464824"/>
    <w:lvl w:ilvl="0" w:tplc="0D2244A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7BCB2E0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en-US"/>
      </w:rPr>
    </w:lvl>
    <w:lvl w:ilvl="2" w:tplc="B692A982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6FE4F8CC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4" w:tplc="704EBAB2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BAEC8126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6" w:tplc="247AA7E0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en-US"/>
      </w:rPr>
    </w:lvl>
    <w:lvl w:ilvl="7" w:tplc="B7DC19B6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8" w:tplc="9BD6FFC0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168177F"/>
    <w:multiLevelType w:val="hybridMultilevel"/>
    <w:tmpl w:val="3E6658A6"/>
    <w:lvl w:ilvl="0" w:tplc="45E27DA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2589338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en-US"/>
      </w:rPr>
    </w:lvl>
    <w:lvl w:ilvl="2" w:tplc="4B92B072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856030A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4" w:tplc="6024BD3E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641A9846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6" w:tplc="5E5AF8BA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en-US"/>
      </w:rPr>
    </w:lvl>
    <w:lvl w:ilvl="7" w:tplc="A5D4607E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8" w:tplc="22FC8AA2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21C1668"/>
    <w:multiLevelType w:val="hybridMultilevel"/>
    <w:tmpl w:val="B458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13CC"/>
    <w:multiLevelType w:val="hybridMultilevel"/>
    <w:tmpl w:val="5D3E714C"/>
    <w:lvl w:ilvl="0" w:tplc="EFD2FD3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A50A29C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en-US"/>
      </w:rPr>
    </w:lvl>
    <w:lvl w:ilvl="2" w:tplc="BB4A7B06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2D3261F4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4" w:tplc="5E86D314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4C722A24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6" w:tplc="1F2C518A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en-US"/>
      </w:rPr>
    </w:lvl>
    <w:lvl w:ilvl="7" w:tplc="B560D874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8" w:tplc="76A28E74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42696B72"/>
    <w:multiLevelType w:val="hybridMultilevel"/>
    <w:tmpl w:val="93E8BAF8"/>
    <w:lvl w:ilvl="0" w:tplc="5902056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64D59"/>
    <w:multiLevelType w:val="hybridMultilevel"/>
    <w:tmpl w:val="0498956E"/>
    <w:lvl w:ilvl="0" w:tplc="29EA812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696B87E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en-US"/>
      </w:rPr>
    </w:lvl>
    <w:lvl w:ilvl="2" w:tplc="3808145C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78D85E0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4" w:tplc="88D00B9C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E31C3552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6" w:tplc="EB0A9572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en-US"/>
      </w:rPr>
    </w:lvl>
    <w:lvl w:ilvl="7" w:tplc="B72205D4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8" w:tplc="07721C6E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C1472B3"/>
    <w:multiLevelType w:val="hybridMultilevel"/>
    <w:tmpl w:val="2AD236CE"/>
    <w:lvl w:ilvl="0" w:tplc="CA18B2E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AA057D6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en-US"/>
      </w:rPr>
    </w:lvl>
    <w:lvl w:ilvl="2" w:tplc="00647E82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D264EB6C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4" w:tplc="4858CBA6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4F0015C8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6" w:tplc="10529840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en-US"/>
      </w:rPr>
    </w:lvl>
    <w:lvl w:ilvl="7" w:tplc="3DB825D2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8" w:tplc="46E05188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51E33856"/>
    <w:multiLevelType w:val="hybridMultilevel"/>
    <w:tmpl w:val="EB441B1E"/>
    <w:lvl w:ilvl="0" w:tplc="5902056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050024"/>
    <w:multiLevelType w:val="hybridMultilevel"/>
    <w:tmpl w:val="1192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C0374"/>
    <w:multiLevelType w:val="hybridMultilevel"/>
    <w:tmpl w:val="69624DF4"/>
    <w:lvl w:ilvl="0" w:tplc="E1CCE37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F042048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en-US"/>
      </w:rPr>
    </w:lvl>
    <w:lvl w:ilvl="2" w:tplc="D4EABD1A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04FEF702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4" w:tplc="9EC0CA04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8AAA04B4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6" w:tplc="AE58EFC6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en-US"/>
      </w:rPr>
    </w:lvl>
    <w:lvl w:ilvl="7" w:tplc="24120776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8" w:tplc="86DABCE8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75CA2379"/>
    <w:multiLevelType w:val="hybridMultilevel"/>
    <w:tmpl w:val="22E05072"/>
    <w:lvl w:ilvl="0" w:tplc="7AC69BA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160963A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en-US"/>
      </w:rPr>
    </w:lvl>
    <w:lvl w:ilvl="2" w:tplc="BDD2AF1C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5CC0B9E8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4" w:tplc="6AB64CCE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E1C4BA0E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6" w:tplc="58B813E2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en-US"/>
      </w:rPr>
    </w:lvl>
    <w:lvl w:ilvl="7" w:tplc="230020FC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8" w:tplc="BE206DF0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7BBE0D46"/>
    <w:multiLevelType w:val="hybridMultilevel"/>
    <w:tmpl w:val="C41A994A"/>
    <w:lvl w:ilvl="0" w:tplc="1DF6D39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67A6928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en-US"/>
      </w:rPr>
    </w:lvl>
    <w:lvl w:ilvl="2" w:tplc="B6EA9D9E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22C8BA0E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4" w:tplc="1DACA02E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B63A7260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6" w:tplc="31A4A7FA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en-US"/>
      </w:rPr>
    </w:lvl>
    <w:lvl w:ilvl="7" w:tplc="D2F20682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8" w:tplc="FB9E6B20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"/>
  </w:num>
  <w:num w:numId="5">
    <w:abstractNumId w:val="13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  <w:num w:numId="14">
    <w:abstractNumId w:val="6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98"/>
    <w:rsid w:val="00017BCE"/>
    <w:rsid w:val="000A1235"/>
    <w:rsid w:val="00111091"/>
    <w:rsid w:val="0014495D"/>
    <w:rsid w:val="00152465"/>
    <w:rsid w:val="0016300D"/>
    <w:rsid w:val="00164914"/>
    <w:rsid w:val="001A1B9B"/>
    <w:rsid w:val="001E3917"/>
    <w:rsid w:val="001E4234"/>
    <w:rsid w:val="002064B2"/>
    <w:rsid w:val="0020721D"/>
    <w:rsid w:val="00273D08"/>
    <w:rsid w:val="00284AE8"/>
    <w:rsid w:val="002B6B35"/>
    <w:rsid w:val="002D20B9"/>
    <w:rsid w:val="0032139A"/>
    <w:rsid w:val="00332A12"/>
    <w:rsid w:val="00345C9A"/>
    <w:rsid w:val="003D57D0"/>
    <w:rsid w:val="004212FA"/>
    <w:rsid w:val="00427C42"/>
    <w:rsid w:val="004375A9"/>
    <w:rsid w:val="004844E4"/>
    <w:rsid w:val="004B612E"/>
    <w:rsid w:val="004E45A2"/>
    <w:rsid w:val="004E7ECF"/>
    <w:rsid w:val="005B7C08"/>
    <w:rsid w:val="005D671A"/>
    <w:rsid w:val="005F1A71"/>
    <w:rsid w:val="005F74C9"/>
    <w:rsid w:val="00600EED"/>
    <w:rsid w:val="00605E24"/>
    <w:rsid w:val="006B028D"/>
    <w:rsid w:val="006B2655"/>
    <w:rsid w:val="00705A91"/>
    <w:rsid w:val="00720B03"/>
    <w:rsid w:val="0073631F"/>
    <w:rsid w:val="00737CE2"/>
    <w:rsid w:val="007465C1"/>
    <w:rsid w:val="00774D68"/>
    <w:rsid w:val="007872CD"/>
    <w:rsid w:val="007E1891"/>
    <w:rsid w:val="00824AB3"/>
    <w:rsid w:val="008346CD"/>
    <w:rsid w:val="008351D7"/>
    <w:rsid w:val="008356FB"/>
    <w:rsid w:val="00854F81"/>
    <w:rsid w:val="008B0C95"/>
    <w:rsid w:val="008E0DB5"/>
    <w:rsid w:val="008F7CD1"/>
    <w:rsid w:val="009048B6"/>
    <w:rsid w:val="00906FA1"/>
    <w:rsid w:val="00917B11"/>
    <w:rsid w:val="00937FE1"/>
    <w:rsid w:val="0095218C"/>
    <w:rsid w:val="00981364"/>
    <w:rsid w:val="00994FC0"/>
    <w:rsid w:val="009F63DA"/>
    <w:rsid w:val="00A05629"/>
    <w:rsid w:val="00A07E2C"/>
    <w:rsid w:val="00A306C2"/>
    <w:rsid w:val="00A40543"/>
    <w:rsid w:val="00A4595C"/>
    <w:rsid w:val="00A614BD"/>
    <w:rsid w:val="00A63CF7"/>
    <w:rsid w:val="00A74DCC"/>
    <w:rsid w:val="00AF058B"/>
    <w:rsid w:val="00B402E5"/>
    <w:rsid w:val="00B44570"/>
    <w:rsid w:val="00C0295A"/>
    <w:rsid w:val="00C048A4"/>
    <w:rsid w:val="00C27661"/>
    <w:rsid w:val="00C33EBC"/>
    <w:rsid w:val="00C5257F"/>
    <w:rsid w:val="00C979B3"/>
    <w:rsid w:val="00CB58C0"/>
    <w:rsid w:val="00CE2727"/>
    <w:rsid w:val="00D35BF7"/>
    <w:rsid w:val="00D51307"/>
    <w:rsid w:val="00D6404C"/>
    <w:rsid w:val="00D67FA8"/>
    <w:rsid w:val="00DB295E"/>
    <w:rsid w:val="00DB32AC"/>
    <w:rsid w:val="00DD4196"/>
    <w:rsid w:val="00DE19F1"/>
    <w:rsid w:val="00E317E6"/>
    <w:rsid w:val="00E54AA6"/>
    <w:rsid w:val="00E55598"/>
    <w:rsid w:val="00E91590"/>
    <w:rsid w:val="00EC4FE3"/>
    <w:rsid w:val="00ED1973"/>
    <w:rsid w:val="00F10E8C"/>
    <w:rsid w:val="00F401EF"/>
    <w:rsid w:val="00F53549"/>
    <w:rsid w:val="00F540BF"/>
    <w:rsid w:val="00FD1302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D8EB9"/>
  <w15:docId w15:val="{F97352AD-719E-4D68-A93E-48088A82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8"/>
    </w:pPr>
  </w:style>
  <w:style w:type="character" w:styleId="CommentReference">
    <w:name w:val="annotation reference"/>
    <w:basedOn w:val="DefaultParagraphFont"/>
    <w:uiPriority w:val="99"/>
    <w:semiHidden/>
    <w:unhideWhenUsed/>
    <w:rsid w:val="005D6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7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71A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71A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71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1A"/>
    <w:rPr>
      <w:rFonts w:ascii="Times New Roman" w:eastAsia="Arial" w:hAnsi="Times New Roman" w:cs="Times New Roman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E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DB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E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DB5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CE27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12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54F81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h267@ps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(cok5111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CPSR Summary Companion</vt:lpstr>
    </vt:vector>
  </TitlesOfParts>
  <Company>Penn State University</Company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CPSR Summary Companion</dc:title>
  <dc:creator>Tessa Gross</dc:creator>
  <cp:lastModifiedBy>Lisa Bailey</cp:lastModifiedBy>
  <cp:revision>2</cp:revision>
  <cp:lastPrinted>2019-04-25T16:53:00Z</cp:lastPrinted>
  <dcterms:created xsi:type="dcterms:W3CDTF">2019-05-16T13:14:00Z</dcterms:created>
  <dcterms:modified xsi:type="dcterms:W3CDTF">2019-05-16T13:14:00Z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2018-05-15T00:00:00Z</vt:filetime>
  </property>
</Properties>
</file>